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57" w:rsidRPr="003517C5" w:rsidRDefault="00276B57" w:rsidP="00756DC2">
      <w:pPr>
        <w:jc w:val="center"/>
        <w:rPr>
          <w:b/>
          <w:u w:val="single"/>
        </w:rPr>
      </w:pPr>
      <w:r w:rsidRPr="002F5B67">
        <w:rPr>
          <w:b/>
          <w:u w:val="single"/>
        </w:rPr>
        <w:t>Si</w:t>
      </w:r>
      <w:r w:rsidR="004E3B56" w:rsidRPr="002F5B67">
        <w:rPr>
          <w:b/>
          <w:u w:val="single"/>
        </w:rPr>
        <w:t>ntesi dei</w:t>
      </w:r>
      <w:r w:rsidR="00642F6A">
        <w:rPr>
          <w:b/>
          <w:u w:val="single"/>
        </w:rPr>
        <w:t xml:space="preserve"> principali </w:t>
      </w:r>
      <w:r w:rsidR="004E3B56" w:rsidRPr="002F5B67">
        <w:rPr>
          <w:b/>
          <w:u w:val="single"/>
        </w:rPr>
        <w:t xml:space="preserve">dati del </w:t>
      </w:r>
      <w:r w:rsidR="003517C5">
        <w:rPr>
          <w:b/>
          <w:u w:val="single"/>
        </w:rPr>
        <w:t>periodo</w:t>
      </w:r>
      <w:r w:rsidR="004E3B56" w:rsidRPr="003517C5">
        <w:rPr>
          <w:b/>
          <w:u w:val="single"/>
        </w:rPr>
        <w:t xml:space="preserve"> 200</w:t>
      </w:r>
      <w:r w:rsidR="004C13B9">
        <w:rPr>
          <w:b/>
          <w:u w:val="single"/>
        </w:rPr>
        <w:t>7</w:t>
      </w:r>
      <w:r w:rsidRPr="003517C5">
        <w:rPr>
          <w:b/>
          <w:u w:val="single"/>
        </w:rPr>
        <w:t>-</w:t>
      </w:r>
      <w:r w:rsidRPr="00C9737A">
        <w:rPr>
          <w:b/>
          <w:u w:val="single"/>
        </w:rPr>
        <w:t>20</w:t>
      </w:r>
      <w:r w:rsidR="00CE2933" w:rsidRPr="00C9737A">
        <w:rPr>
          <w:b/>
          <w:u w:val="single"/>
        </w:rPr>
        <w:t>1</w:t>
      </w:r>
      <w:r w:rsidR="00F7266C" w:rsidRPr="00C9737A">
        <w:rPr>
          <w:b/>
          <w:u w:val="single"/>
        </w:rPr>
        <w:t>5</w:t>
      </w:r>
    </w:p>
    <w:p w:rsidR="00276B57" w:rsidRDefault="00276B57" w:rsidP="00276B57">
      <w:pPr>
        <w:jc w:val="center"/>
      </w:pPr>
    </w:p>
    <w:p w:rsidR="00276B57" w:rsidRDefault="00276B57" w:rsidP="00276B57">
      <w:pPr>
        <w:jc w:val="both"/>
      </w:pPr>
    </w:p>
    <w:p w:rsidR="00BF3063" w:rsidRPr="00BF3063" w:rsidRDefault="00276B57" w:rsidP="00C9737A">
      <w:pPr>
        <w:spacing w:line="276" w:lineRule="auto"/>
        <w:jc w:val="both"/>
      </w:pPr>
      <w:r w:rsidRPr="00EE322D">
        <w:rPr>
          <w:b/>
        </w:rPr>
        <w:t>Comparti di contrattazione</w:t>
      </w:r>
      <w:r w:rsidR="00BF3063">
        <w:t>:</w:t>
      </w:r>
    </w:p>
    <w:p w:rsidR="00BF3063" w:rsidRPr="00CF0D2E" w:rsidRDefault="00BF3063" w:rsidP="00C9737A">
      <w:pPr>
        <w:numPr>
          <w:ilvl w:val="0"/>
          <w:numId w:val="2"/>
        </w:numPr>
        <w:spacing w:line="276" w:lineRule="auto"/>
        <w:jc w:val="both"/>
      </w:pPr>
      <w:r w:rsidRPr="00CF0D2E">
        <w:rPr>
          <w:u w:val="single"/>
        </w:rPr>
        <w:t>Settore Statale</w:t>
      </w:r>
      <w:r w:rsidRPr="00CF0D2E">
        <w:t xml:space="preserve">: </w:t>
      </w:r>
      <w:r w:rsidR="00276B57" w:rsidRPr="00CF0D2E">
        <w:t>Minis</w:t>
      </w:r>
      <w:r w:rsidR="004E3B56" w:rsidRPr="00CF0D2E">
        <w:t>teri;</w:t>
      </w:r>
      <w:r w:rsidR="00EE322D" w:rsidRPr="00CF0D2E">
        <w:t xml:space="preserve"> Agenzie fiscali, Presidenza del consiglio dei ministri</w:t>
      </w:r>
      <w:r w:rsidR="004E3B56" w:rsidRPr="00CF0D2E">
        <w:t>;</w:t>
      </w:r>
      <w:r w:rsidR="00EE322D" w:rsidRPr="00CF0D2E">
        <w:t xml:space="preserve"> Vigili del fuoco;</w:t>
      </w:r>
      <w:r w:rsidR="004E3B56" w:rsidRPr="00CF0D2E">
        <w:t xml:space="preserve"> Scuola;</w:t>
      </w:r>
      <w:r w:rsidR="00276B57" w:rsidRPr="00CF0D2E">
        <w:t xml:space="preserve"> Istituzioni di alta formazione artistica e musicale (AFAM); Corpi di polizia; Forze armate; </w:t>
      </w:r>
      <w:r w:rsidR="00276B57" w:rsidRPr="00AE1D52">
        <w:t>Magis</w:t>
      </w:r>
      <w:r w:rsidR="004E3B56" w:rsidRPr="00AE1D52">
        <w:t>tratura</w:t>
      </w:r>
      <w:r w:rsidR="004E3B56" w:rsidRPr="00BC4DEA">
        <w:t>;</w:t>
      </w:r>
      <w:r w:rsidR="004E3B56" w:rsidRPr="00CF0D2E">
        <w:t xml:space="preserve"> Diplomatici;</w:t>
      </w:r>
      <w:r w:rsidR="00F52EB5" w:rsidRPr="00CF0D2E">
        <w:t xml:space="preserve"> Prefetti;</w:t>
      </w:r>
      <w:r w:rsidR="00EE322D" w:rsidRPr="00CF0D2E">
        <w:t xml:space="preserve"> Carriera penitenziaria</w:t>
      </w:r>
      <w:r w:rsidRPr="00CF0D2E">
        <w:t>;</w:t>
      </w:r>
    </w:p>
    <w:p w:rsidR="00276B57" w:rsidRDefault="00BF3063" w:rsidP="00C9737A">
      <w:pPr>
        <w:numPr>
          <w:ilvl w:val="0"/>
          <w:numId w:val="2"/>
        </w:numPr>
        <w:spacing w:line="276" w:lineRule="auto"/>
        <w:jc w:val="both"/>
      </w:pPr>
      <w:r w:rsidRPr="00CF0D2E">
        <w:rPr>
          <w:u w:val="single"/>
        </w:rPr>
        <w:t>Settore pubblico non Statale</w:t>
      </w:r>
      <w:r w:rsidRPr="00CF0D2E">
        <w:t xml:space="preserve">: Servizio Sanitario nazionale; Enti pubblici non economici; Enti di ricerca; Regioni ed autonomie locali (CCNL); Regioni a statuto speciale </w:t>
      </w:r>
      <w:r w:rsidR="003517C5">
        <w:t>e province autonome; Università;</w:t>
      </w:r>
      <w:r w:rsidR="00272DAC">
        <w:t xml:space="preserve"> Autorità indipendenti; Enti ex art. 70</w:t>
      </w:r>
      <w:r w:rsidR="003431C7">
        <w:t>, comma 4,</w:t>
      </w:r>
      <w:r w:rsidR="00272DAC">
        <w:t xml:space="preserve"> d.lgs. 165/2001; Enti ex art. 60</w:t>
      </w:r>
      <w:r w:rsidR="003431C7">
        <w:t xml:space="preserve">, </w:t>
      </w:r>
      <w:r w:rsidR="00272DAC">
        <w:t>comma</w:t>
      </w:r>
      <w:r w:rsidR="003431C7">
        <w:t xml:space="preserve"> 3,</w:t>
      </w:r>
      <w:r w:rsidR="00421F9A">
        <w:t xml:space="preserve"> d.lgs. 165/2001; Enti appartenenti alla lista S13.</w:t>
      </w:r>
    </w:p>
    <w:p w:rsidR="004559A5" w:rsidRDefault="004559A5" w:rsidP="00C9737A">
      <w:pPr>
        <w:spacing w:line="276" w:lineRule="auto"/>
        <w:jc w:val="both"/>
      </w:pPr>
    </w:p>
    <w:p w:rsidR="00276B57" w:rsidRPr="003D6656" w:rsidRDefault="004559A5" w:rsidP="00C9737A">
      <w:pPr>
        <w:spacing w:line="276" w:lineRule="auto"/>
        <w:jc w:val="both"/>
      </w:pPr>
      <w:r w:rsidRPr="003D6656">
        <w:t>Nel 2011 sono stati rilevati per la prima volta l’Ente foreste Sardegna, la Reg</w:t>
      </w:r>
      <w:r w:rsidR="00C9737A">
        <w:t>ione Siciliana,</w:t>
      </w:r>
      <w:r w:rsidRPr="003D6656">
        <w:t xml:space="preserve"> alcune ex IPAB </w:t>
      </w:r>
      <w:r w:rsidR="00C9737A">
        <w:t xml:space="preserve">e consorzi </w:t>
      </w:r>
      <w:r w:rsidRPr="003D6656">
        <w:t>della Provincia autonoma di Trento che occupano complessivamente circa 2</w:t>
      </w:r>
      <w:r w:rsidR="00711AC7" w:rsidRPr="003D6656">
        <w:t>4</w:t>
      </w:r>
      <w:r w:rsidR="00C9737A">
        <w:t>.000 persone, mentre da</w:t>
      </w:r>
      <w:r w:rsidR="00C1380C">
        <w:t>l 2014 sono stat</w:t>
      </w:r>
      <w:r w:rsidR="00AE13A0" w:rsidRPr="00AE13A0">
        <w:rPr>
          <w:color w:val="0070C0"/>
        </w:rPr>
        <w:t>i</w:t>
      </w:r>
      <w:r w:rsidR="001B6B83">
        <w:t xml:space="preserve"> rilevati queg</w:t>
      </w:r>
      <w:r w:rsidR="00C1380C">
        <w:t>li enti appartenenti all’elenco Istat</w:t>
      </w:r>
      <w:r w:rsidR="00C1380C" w:rsidRPr="00C1380C">
        <w:t xml:space="preserve"> </w:t>
      </w:r>
      <w:r w:rsidR="00C1380C">
        <w:t>di cui all’</w:t>
      </w:r>
      <w:r w:rsidR="00C1380C" w:rsidRPr="00C1380C">
        <w:t>art.1, comma 3, del d.lgs. 196/2009</w:t>
      </w:r>
      <w:r w:rsidR="00C1380C">
        <w:t xml:space="preserve"> (</w:t>
      </w:r>
      <w:r w:rsidR="00C1380C" w:rsidRPr="00C1380C">
        <w:t>lista S13</w:t>
      </w:r>
      <w:r w:rsidR="00C1380C">
        <w:t>)</w:t>
      </w:r>
      <w:r w:rsidR="00C9737A">
        <w:t xml:space="preserve"> che non erano già ricompresi nell’universo di riferimento del conto annuale</w:t>
      </w:r>
      <w:r w:rsidR="00C1380C">
        <w:t>. Qu</w:t>
      </w:r>
      <w:r w:rsidR="00C9737A">
        <w:t>est’ultimo gruppo di</w:t>
      </w:r>
      <w:r w:rsidR="00C1380C">
        <w:t xml:space="preserve"> enti </w:t>
      </w:r>
      <w:r w:rsidR="00421F9A">
        <w:t xml:space="preserve">alla fine del </w:t>
      </w:r>
      <w:r w:rsidR="00421F9A" w:rsidRPr="00C9737A">
        <w:t>201</w:t>
      </w:r>
      <w:r w:rsidR="00021F34" w:rsidRPr="00C9737A">
        <w:t>5</w:t>
      </w:r>
      <w:r w:rsidR="00421F9A" w:rsidRPr="00C9737A">
        <w:t xml:space="preserve"> </w:t>
      </w:r>
      <w:r w:rsidR="001B6B83">
        <w:t xml:space="preserve">ha </w:t>
      </w:r>
      <w:r w:rsidR="00C9737A" w:rsidRPr="00C9737A">
        <w:t>impiega</w:t>
      </w:r>
      <w:r w:rsidR="001B6B83">
        <w:t>to</w:t>
      </w:r>
      <w:r w:rsidR="00021F34" w:rsidRPr="00C9737A">
        <w:t xml:space="preserve"> </w:t>
      </w:r>
      <w:r w:rsidR="00421F9A" w:rsidRPr="00C9737A">
        <w:t xml:space="preserve">circa </w:t>
      </w:r>
      <w:r w:rsidR="00021F34" w:rsidRPr="00C9737A">
        <w:t xml:space="preserve">35.000 </w:t>
      </w:r>
      <w:r w:rsidR="00AE13A0" w:rsidRPr="00C9737A">
        <w:t>unità di personale</w:t>
      </w:r>
      <w:r w:rsidR="00C1380C" w:rsidRPr="00C9737A">
        <w:t>.</w:t>
      </w:r>
      <w:r w:rsidR="00064025">
        <w:t xml:space="preserve"> </w:t>
      </w:r>
      <w:r w:rsidR="00064025" w:rsidRPr="001B6B83">
        <w:t>Dove particolarmente significativi, sono indicati</w:t>
      </w:r>
      <w:r w:rsidR="001B6B83" w:rsidRPr="001B6B83">
        <w:t xml:space="preserve"> fra parentesi quadre i valori </w:t>
      </w:r>
      <w:r w:rsidR="00064025" w:rsidRPr="001B6B83">
        <w:t xml:space="preserve">al netto degli enti </w:t>
      </w:r>
      <w:r w:rsidR="001B6B83" w:rsidRPr="001B6B83">
        <w:t>entrati nella rilevazione a partire dal 2011</w:t>
      </w:r>
      <w:r w:rsidR="00064025" w:rsidRPr="001B6B83">
        <w:t>.</w:t>
      </w:r>
    </w:p>
    <w:p w:rsidR="004559A5" w:rsidRPr="001A2461" w:rsidRDefault="004559A5" w:rsidP="00C9737A">
      <w:pPr>
        <w:spacing w:line="276" w:lineRule="auto"/>
        <w:jc w:val="both"/>
        <w:rPr>
          <w:b/>
          <w:i/>
          <w:u w:val="single"/>
        </w:rPr>
      </w:pPr>
    </w:p>
    <w:p w:rsidR="00BF3063" w:rsidRPr="001A2461" w:rsidRDefault="00BF3063" w:rsidP="00C9737A">
      <w:pPr>
        <w:spacing w:line="276" w:lineRule="auto"/>
      </w:pPr>
      <w:r w:rsidRPr="001A2461">
        <w:rPr>
          <w:b/>
        </w:rPr>
        <w:t>P</w:t>
      </w:r>
      <w:r w:rsidR="00276B57" w:rsidRPr="001A2461">
        <w:rPr>
          <w:b/>
        </w:rPr>
        <w:t xml:space="preserve">ersonale </w:t>
      </w:r>
      <w:r w:rsidRPr="001A2461">
        <w:rPr>
          <w:b/>
        </w:rPr>
        <w:t xml:space="preserve">con rapporto di lavoro </w:t>
      </w:r>
      <w:r w:rsidR="00276B57" w:rsidRPr="001A2461">
        <w:rPr>
          <w:b/>
        </w:rPr>
        <w:t>a tempo indeterminato</w:t>
      </w:r>
      <w:r w:rsidR="002E4C22" w:rsidRPr="001A2461">
        <w:rPr>
          <w:rStyle w:val="Rimandonotaapidipagina"/>
          <w:b/>
        </w:rPr>
        <w:footnoteReference w:id="2"/>
      </w:r>
      <w:r w:rsidR="00276B57" w:rsidRPr="001A2461">
        <w:t>:</w:t>
      </w:r>
    </w:p>
    <w:p w:rsidR="00BC4DEA" w:rsidRPr="003431C7" w:rsidRDefault="00813262" w:rsidP="00C9737A">
      <w:pPr>
        <w:numPr>
          <w:ilvl w:val="0"/>
          <w:numId w:val="5"/>
        </w:numPr>
        <w:spacing w:line="276" w:lineRule="auto"/>
      </w:pPr>
      <w:r w:rsidRPr="00813262">
        <w:t>3.429.266</w:t>
      </w:r>
      <w:r>
        <w:t xml:space="preserve"> </w:t>
      </w:r>
      <w:r w:rsidR="00BC4DEA" w:rsidRPr="003431C7">
        <w:t>unità nel 200</w:t>
      </w:r>
      <w:r w:rsidR="00272DAC" w:rsidRPr="003431C7">
        <w:t>7</w:t>
      </w:r>
      <w:r w:rsidR="002C4A12" w:rsidRPr="003431C7">
        <w:tab/>
      </w:r>
    </w:p>
    <w:p w:rsidR="00272DAC" w:rsidRPr="003431C7" w:rsidRDefault="00716745" w:rsidP="00C9737A">
      <w:pPr>
        <w:numPr>
          <w:ilvl w:val="0"/>
          <w:numId w:val="5"/>
        </w:numPr>
        <w:spacing w:line="276" w:lineRule="auto"/>
      </w:pPr>
      <w:r w:rsidRPr="003431C7">
        <w:t>3.436.8</w:t>
      </w:r>
      <w:r w:rsidR="001A705B" w:rsidRPr="003431C7">
        <w:t>09</w:t>
      </w:r>
      <w:r w:rsidRPr="003431C7">
        <w:t xml:space="preserve"> </w:t>
      </w:r>
      <w:r w:rsidR="00272DAC" w:rsidRPr="003431C7">
        <w:t>unità nel 2008</w:t>
      </w:r>
      <w:r w:rsidR="003431C7" w:rsidRPr="003431C7">
        <w:tab/>
        <w:t xml:space="preserve">  </w:t>
      </w:r>
      <w:r w:rsidR="00272DAC" w:rsidRPr="003431C7">
        <w:t>(0,2%)</w:t>
      </w:r>
    </w:p>
    <w:p w:rsidR="00B2794D" w:rsidRPr="003431C7" w:rsidRDefault="00716745" w:rsidP="00C9737A">
      <w:pPr>
        <w:numPr>
          <w:ilvl w:val="0"/>
          <w:numId w:val="5"/>
        </w:numPr>
        <w:spacing w:line="276" w:lineRule="auto"/>
      </w:pPr>
      <w:r w:rsidRPr="003431C7">
        <w:t>3.376.20</w:t>
      </w:r>
      <w:r w:rsidR="001A705B" w:rsidRPr="003431C7">
        <w:t>6</w:t>
      </w:r>
      <w:r w:rsidRPr="003431C7">
        <w:t xml:space="preserve"> </w:t>
      </w:r>
      <w:r w:rsidR="00B2794D" w:rsidRPr="003431C7">
        <w:t>unità nel 2009</w:t>
      </w:r>
      <w:r w:rsidR="003431C7" w:rsidRPr="003431C7">
        <w:tab/>
        <w:t xml:space="preserve"> </w:t>
      </w:r>
      <w:r w:rsidR="00272DAC" w:rsidRPr="003431C7">
        <w:t>(-1,8</w:t>
      </w:r>
      <w:r w:rsidR="002C4A12" w:rsidRPr="003431C7">
        <w:t>%)</w:t>
      </w:r>
    </w:p>
    <w:p w:rsidR="001D70AB" w:rsidRPr="003431C7" w:rsidRDefault="001A705B" w:rsidP="00C9737A">
      <w:pPr>
        <w:numPr>
          <w:ilvl w:val="0"/>
          <w:numId w:val="5"/>
        </w:numPr>
        <w:spacing w:line="276" w:lineRule="auto"/>
      </w:pPr>
      <w:r w:rsidRPr="003431C7">
        <w:t>3.315.697</w:t>
      </w:r>
      <w:r w:rsidR="00716745" w:rsidRPr="003431C7">
        <w:t xml:space="preserve"> </w:t>
      </w:r>
      <w:r w:rsidR="001D70AB" w:rsidRPr="003431C7">
        <w:t>unità nel 2010</w:t>
      </w:r>
      <w:r w:rsidR="00272DAC" w:rsidRPr="003431C7">
        <w:tab/>
      </w:r>
      <w:r w:rsidR="003431C7" w:rsidRPr="003431C7">
        <w:t xml:space="preserve"> </w:t>
      </w:r>
      <w:r w:rsidR="00272DAC" w:rsidRPr="003431C7">
        <w:t>(-1,8</w:t>
      </w:r>
      <w:r w:rsidR="002C4A12" w:rsidRPr="003431C7">
        <w:t>%)</w:t>
      </w:r>
    </w:p>
    <w:p w:rsidR="00272DAC" w:rsidRPr="003431C7" w:rsidRDefault="00716745" w:rsidP="00C9737A">
      <w:pPr>
        <w:numPr>
          <w:ilvl w:val="0"/>
          <w:numId w:val="5"/>
        </w:numPr>
        <w:spacing w:line="276" w:lineRule="auto"/>
      </w:pPr>
      <w:r w:rsidRPr="003431C7">
        <w:t>3.283.78</w:t>
      </w:r>
      <w:r w:rsidR="001A705B" w:rsidRPr="003431C7">
        <w:t>7</w:t>
      </w:r>
      <w:r w:rsidRPr="003431C7">
        <w:t xml:space="preserve"> </w:t>
      </w:r>
      <w:r w:rsidR="00272DAC" w:rsidRPr="003431C7">
        <w:t>unità nel 2011</w:t>
      </w:r>
      <w:r w:rsidR="00272DAC" w:rsidRPr="003431C7">
        <w:tab/>
      </w:r>
      <w:r w:rsidR="003431C7" w:rsidRPr="003431C7">
        <w:t xml:space="preserve"> </w:t>
      </w:r>
      <w:r w:rsidR="00272DAC" w:rsidRPr="003431C7">
        <w:t>(-1</w:t>
      </w:r>
      <w:r w:rsidR="00EC7233" w:rsidRPr="003431C7">
        <w:t>,0</w:t>
      </w:r>
      <w:r w:rsidR="00272DAC" w:rsidRPr="003431C7">
        <w:t>%)</w:t>
      </w:r>
      <w:r w:rsidR="001B6B83">
        <w:t xml:space="preserve"> [3.258.327 (</w:t>
      </w:r>
      <w:r w:rsidR="00853ACF">
        <w:t>-1,7%)]</w:t>
      </w:r>
    </w:p>
    <w:p w:rsidR="002F53EE" w:rsidRPr="003431C7" w:rsidRDefault="00716745" w:rsidP="00C9737A">
      <w:pPr>
        <w:numPr>
          <w:ilvl w:val="0"/>
          <w:numId w:val="5"/>
        </w:numPr>
        <w:spacing w:line="276" w:lineRule="auto"/>
      </w:pPr>
      <w:r w:rsidRPr="003431C7">
        <w:t>3</w:t>
      </w:r>
      <w:r w:rsidR="001A705B" w:rsidRPr="003431C7">
        <w:t>.</w:t>
      </w:r>
      <w:r w:rsidRPr="003431C7">
        <w:t>238.9</w:t>
      </w:r>
      <w:r w:rsidR="00421F9A">
        <w:t>55</w:t>
      </w:r>
      <w:r w:rsidRPr="003431C7">
        <w:t xml:space="preserve"> </w:t>
      </w:r>
      <w:r w:rsidR="002F53EE" w:rsidRPr="003431C7">
        <w:t>unità nel 2012</w:t>
      </w:r>
      <w:r w:rsidR="00313313" w:rsidRPr="003431C7">
        <w:tab/>
      </w:r>
      <w:r w:rsidR="003431C7" w:rsidRPr="003431C7">
        <w:t xml:space="preserve"> </w:t>
      </w:r>
      <w:r w:rsidR="00241837" w:rsidRPr="003431C7">
        <w:t>(-1,4%)</w:t>
      </w:r>
      <w:r w:rsidR="001B6B83">
        <w:t xml:space="preserve"> [3.213.381 (</w:t>
      </w:r>
      <w:r w:rsidR="00853ACF">
        <w:t>-1,4%)]</w:t>
      </w:r>
    </w:p>
    <w:p w:rsidR="00716745" w:rsidRPr="00853ACF" w:rsidRDefault="00813262" w:rsidP="00C9737A">
      <w:pPr>
        <w:numPr>
          <w:ilvl w:val="0"/>
          <w:numId w:val="5"/>
        </w:numPr>
        <w:spacing w:line="276" w:lineRule="auto"/>
      </w:pPr>
      <w:r w:rsidRPr="00853ACF">
        <w:t xml:space="preserve">3.233.095 </w:t>
      </w:r>
      <w:r w:rsidR="003431C7" w:rsidRPr="00853ACF">
        <w:t>unità nel 2013 (-0,2</w:t>
      </w:r>
      <w:r w:rsidR="00716745" w:rsidRPr="00853ACF">
        <w:t>%)</w:t>
      </w:r>
      <w:r w:rsidR="00853ACF">
        <w:t xml:space="preserve"> </w:t>
      </w:r>
      <w:r w:rsidR="001B6B83" w:rsidRPr="00853ACF">
        <w:t>[3.207.441 (</w:t>
      </w:r>
      <w:r w:rsidR="00853ACF" w:rsidRPr="00853ACF">
        <w:t>-0,2%)]</w:t>
      </w:r>
    </w:p>
    <w:p w:rsidR="00813262" w:rsidRPr="00853ACF" w:rsidRDefault="00813262" w:rsidP="00C9737A">
      <w:pPr>
        <w:numPr>
          <w:ilvl w:val="0"/>
          <w:numId w:val="5"/>
        </w:numPr>
        <w:spacing w:line="276" w:lineRule="auto"/>
      </w:pPr>
      <w:r w:rsidRPr="00853ACF">
        <w:t xml:space="preserve">3.259.621 </w:t>
      </w:r>
      <w:r w:rsidR="00421F9A" w:rsidRPr="00853ACF">
        <w:t>unità nel 2014  (0,</w:t>
      </w:r>
      <w:r w:rsidR="00853ACF" w:rsidRPr="00853ACF">
        <w:t>8</w:t>
      </w:r>
      <w:r w:rsidR="00421F9A" w:rsidRPr="00853ACF">
        <w:t>%)</w:t>
      </w:r>
      <w:r w:rsidR="00064025" w:rsidRPr="00853ACF">
        <w:t xml:space="preserve"> </w:t>
      </w:r>
      <w:r w:rsidR="00853ACF">
        <w:t xml:space="preserve"> </w:t>
      </w:r>
      <w:r w:rsidRPr="00853ACF">
        <w:t>[3.</w:t>
      </w:r>
      <w:r w:rsidR="00853ACF" w:rsidRPr="00853ACF">
        <w:t>194.012</w:t>
      </w:r>
      <w:r w:rsidRPr="00853ACF">
        <w:t xml:space="preserve"> (-0,4%)]</w:t>
      </w:r>
    </w:p>
    <w:p w:rsidR="00813262" w:rsidRPr="00853ACF" w:rsidRDefault="00813262" w:rsidP="00C9737A">
      <w:pPr>
        <w:numPr>
          <w:ilvl w:val="0"/>
          <w:numId w:val="5"/>
        </w:numPr>
        <w:spacing w:line="276" w:lineRule="auto"/>
      </w:pPr>
      <w:r w:rsidRPr="00853ACF">
        <w:t>3.257.014</w:t>
      </w:r>
      <w:r w:rsidR="00064025" w:rsidRPr="00853ACF">
        <w:tab/>
      </w:r>
      <w:r w:rsidRPr="00853ACF">
        <w:t>unità nel 2015  (</w:t>
      </w:r>
      <w:r w:rsidR="00853ACF" w:rsidRPr="00853ACF">
        <w:t>-0,1</w:t>
      </w:r>
      <w:r w:rsidRPr="00853ACF">
        <w:t>%)</w:t>
      </w:r>
      <w:r w:rsidR="00853ACF" w:rsidRPr="00853ACF">
        <w:t xml:space="preserve"> [3.192.046 (-0,1%)]</w:t>
      </w:r>
    </w:p>
    <w:p w:rsidR="00EA6F91" w:rsidRPr="001A2461" w:rsidRDefault="00813262" w:rsidP="00C9737A">
      <w:pPr>
        <w:spacing w:line="276" w:lineRule="auto"/>
      </w:pPr>
      <w:r w:rsidRPr="00813262">
        <w:tab/>
      </w:r>
      <w:r w:rsidRPr="00813262">
        <w:tab/>
      </w:r>
      <w:r w:rsidRPr="00813262">
        <w:tab/>
      </w:r>
      <w:r w:rsidRPr="00813262">
        <w:tab/>
      </w:r>
      <w:r w:rsidRPr="00813262">
        <w:tab/>
      </w:r>
      <w:r w:rsidRPr="00813262">
        <w:tab/>
      </w:r>
      <w:r w:rsidRPr="00813262">
        <w:tab/>
      </w:r>
      <w:r w:rsidRPr="00813262">
        <w:tab/>
      </w:r>
      <w:r w:rsidRPr="00813262">
        <w:tab/>
      </w:r>
    </w:p>
    <w:p w:rsidR="002C450C" w:rsidRPr="00853ACF" w:rsidRDefault="004559A5" w:rsidP="00C9737A">
      <w:pPr>
        <w:spacing w:line="276" w:lineRule="auto"/>
        <w:jc w:val="both"/>
      </w:pPr>
      <w:r w:rsidRPr="00853ACF">
        <w:t>La variazione complessiva in riduzione registrata nel 201</w:t>
      </w:r>
      <w:r w:rsidR="00813262" w:rsidRPr="00853ACF">
        <w:t>5</w:t>
      </w:r>
      <w:r w:rsidRPr="00853ACF">
        <w:t xml:space="preserve"> rispetto all’anno </w:t>
      </w:r>
      <w:r w:rsidR="008A6CB5" w:rsidRPr="00853ACF">
        <w:t>200</w:t>
      </w:r>
      <w:r w:rsidR="003431C7" w:rsidRPr="00853ACF">
        <w:t>7</w:t>
      </w:r>
      <w:r w:rsidR="008A6CB5" w:rsidRPr="00853ACF">
        <w:t xml:space="preserve"> è del </w:t>
      </w:r>
      <w:r w:rsidR="001A705B" w:rsidRPr="00853ACF">
        <w:t>5,</w:t>
      </w:r>
      <w:r w:rsidR="00813262" w:rsidRPr="00853ACF">
        <w:t>0</w:t>
      </w:r>
      <w:r w:rsidR="008A6CB5" w:rsidRPr="00853ACF">
        <w:t>%</w:t>
      </w:r>
      <w:r w:rsidR="00853ACF" w:rsidRPr="00853ACF">
        <w:t xml:space="preserve">. Escludendo dal confronto gli enti entrati nella rilevazione a partire dal 2011 la riduzione è più marcata e pari a </w:t>
      </w:r>
      <w:r w:rsidR="00711AC7" w:rsidRPr="00853ACF">
        <w:t>6,</w:t>
      </w:r>
      <w:r w:rsidR="00853ACF" w:rsidRPr="00853ACF">
        <w:t>9</w:t>
      </w:r>
      <w:r w:rsidRPr="00853ACF">
        <w:t>%.</w:t>
      </w:r>
    </w:p>
    <w:p w:rsidR="00DC165F" w:rsidRPr="003D6656" w:rsidRDefault="004559A5" w:rsidP="00C9737A">
      <w:pPr>
        <w:spacing w:line="276" w:lineRule="auto"/>
        <w:jc w:val="both"/>
      </w:pPr>
      <w:r w:rsidRPr="003D6656">
        <w:t xml:space="preserve">Il comparto che ha maggiormente contribuito </w:t>
      </w:r>
      <w:r w:rsidR="00AE10C5">
        <w:t>alla riduzione del personale è quello delle Regioni ed autonomie locali,</w:t>
      </w:r>
      <w:r w:rsidRPr="003D6656">
        <w:t xml:space="preserve"> ma la variazione negativa ha interessato tutti i comparti</w:t>
      </w:r>
      <w:r w:rsidR="00311F5F" w:rsidRPr="003D6656">
        <w:t xml:space="preserve">, fra i quali quelli che </w:t>
      </w:r>
      <w:r w:rsidR="00311F5F" w:rsidRPr="003D6656">
        <w:lastRenderedPageBreak/>
        <w:t>hanno presentato rid</w:t>
      </w:r>
      <w:r w:rsidR="00AE10C5">
        <w:t>uzioni assolute più consistenti</w:t>
      </w:r>
      <w:r w:rsidR="00311F5F" w:rsidRPr="003D6656">
        <w:t xml:space="preserve"> sono </w:t>
      </w:r>
      <w:r w:rsidR="00AE10C5">
        <w:t xml:space="preserve">la Scuola, </w:t>
      </w:r>
      <w:r w:rsidR="00311F5F" w:rsidRPr="003D6656">
        <w:t>i</w:t>
      </w:r>
      <w:r w:rsidR="002C450C" w:rsidRPr="003D6656">
        <w:t xml:space="preserve"> Ministeri</w:t>
      </w:r>
      <w:r w:rsidR="00311F5F" w:rsidRPr="003D6656">
        <w:t>,</w:t>
      </w:r>
      <w:r w:rsidR="002C450C" w:rsidRPr="003D6656">
        <w:t xml:space="preserve"> </w:t>
      </w:r>
      <w:r w:rsidR="00311F5F" w:rsidRPr="003D6656">
        <w:t xml:space="preserve">e </w:t>
      </w:r>
      <w:r w:rsidR="00AE10C5">
        <w:t>il Servizio Sanitario Nazionale.</w:t>
      </w:r>
    </w:p>
    <w:p w:rsidR="00FF4132" w:rsidRDefault="00FF4132" w:rsidP="00C9737A">
      <w:pPr>
        <w:spacing w:line="276" w:lineRule="auto"/>
        <w:jc w:val="both"/>
        <w:rPr>
          <w:b/>
        </w:rPr>
      </w:pPr>
    </w:p>
    <w:p w:rsidR="00472C6B" w:rsidRPr="004559A5" w:rsidRDefault="00276B57" w:rsidP="00C9737A">
      <w:pPr>
        <w:spacing w:line="276" w:lineRule="auto"/>
        <w:jc w:val="both"/>
      </w:pPr>
      <w:r w:rsidRPr="002C450C">
        <w:rPr>
          <w:b/>
        </w:rPr>
        <w:t>Presenza femminile e incidenza sul totale</w:t>
      </w:r>
      <w:r w:rsidR="00F90E0A" w:rsidRPr="002C450C">
        <w:rPr>
          <w:b/>
        </w:rPr>
        <w:t xml:space="preserve"> a tempo indeterminato</w:t>
      </w:r>
      <w:r w:rsidRPr="002C450C">
        <w:rPr>
          <w:b/>
        </w:rPr>
        <w:t>:</w:t>
      </w:r>
    </w:p>
    <w:p w:rsidR="004559A5" w:rsidRPr="0032209B" w:rsidRDefault="00D75419" w:rsidP="00C9737A">
      <w:pPr>
        <w:numPr>
          <w:ilvl w:val="0"/>
          <w:numId w:val="7"/>
        </w:numPr>
        <w:spacing w:line="276" w:lineRule="auto"/>
        <w:jc w:val="both"/>
      </w:pPr>
      <w:r w:rsidRPr="0032209B">
        <w:t xml:space="preserve">1.851.683 </w:t>
      </w:r>
      <w:r w:rsidR="004559A5" w:rsidRPr="0032209B">
        <w:t>unità nel 2007 (54</w:t>
      </w:r>
      <w:r w:rsidR="0032209B" w:rsidRPr="0032209B">
        <w:t>,0</w:t>
      </w:r>
      <w:r w:rsidR="004559A5" w:rsidRPr="0032209B">
        <w:t>%)</w:t>
      </w:r>
    </w:p>
    <w:p w:rsidR="004559A5" w:rsidRPr="0032209B" w:rsidRDefault="00D75419" w:rsidP="00C9737A">
      <w:pPr>
        <w:numPr>
          <w:ilvl w:val="0"/>
          <w:numId w:val="7"/>
        </w:numPr>
        <w:spacing w:line="276" w:lineRule="auto"/>
        <w:jc w:val="both"/>
      </w:pPr>
      <w:r w:rsidRPr="0032209B">
        <w:t>1.871.739</w:t>
      </w:r>
      <w:r w:rsidR="0032209B" w:rsidRPr="0032209B">
        <w:t xml:space="preserve"> </w:t>
      </w:r>
      <w:r w:rsidR="004559A5" w:rsidRPr="0032209B">
        <w:t>unità nel 2008 (54,5%)</w:t>
      </w:r>
    </w:p>
    <w:p w:rsidR="00276B57" w:rsidRPr="0032209B" w:rsidRDefault="00D75419" w:rsidP="00C9737A">
      <w:pPr>
        <w:numPr>
          <w:ilvl w:val="0"/>
          <w:numId w:val="7"/>
        </w:numPr>
        <w:spacing w:line="276" w:lineRule="auto"/>
        <w:jc w:val="both"/>
      </w:pPr>
      <w:r w:rsidRPr="0032209B">
        <w:t>1.839.690</w:t>
      </w:r>
      <w:r w:rsidR="00472C6B" w:rsidRPr="0032209B">
        <w:t xml:space="preserve"> unità nel 200</w:t>
      </w:r>
      <w:r w:rsidR="004559A5" w:rsidRPr="0032209B">
        <w:t>9</w:t>
      </w:r>
      <w:r w:rsidR="00472C6B" w:rsidRPr="0032209B">
        <w:t xml:space="preserve"> (</w:t>
      </w:r>
      <w:r w:rsidR="001A2461" w:rsidRPr="0032209B">
        <w:t>5</w:t>
      </w:r>
      <w:r w:rsidR="004559A5" w:rsidRPr="0032209B">
        <w:t>4,5</w:t>
      </w:r>
      <w:r w:rsidR="00472C6B" w:rsidRPr="0032209B">
        <w:t>%)</w:t>
      </w:r>
    </w:p>
    <w:p w:rsidR="00DC165F" w:rsidRPr="0032209B" w:rsidRDefault="00D75419" w:rsidP="00C9737A">
      <w:pPr>
        <w:numPr>
          <w:ilvl w:val="0"/>
          <w:numId w:val="7"/>
        </w:numPr>
        <w:spacing w:line="276" w:lineRule="auto"/>
        <w:jc w:val="both"/>
      </w:pPr>
      <w:r w:rsidRPr="0032209B">
        <w:t xml:space="preserve">1.821.777 </w:t>
      </w:r>
      <w:r w:rsidR="004559A5" w:rsidRPr="0032209B">
        <w:t>unità nel 2010 (54,9</w:t>
      </w:r>
      <w:r w:rsidR="00DC165F" w:rsidRPr="0032209B">
        <w:t>%)</w:t>
      </w:r>
    </w:p>
    <w:p w:rsidR="00017E44" w:rsidRPr="0032209B" w:rsidRDefault="00D75419" w:rsidP="00C9737A">
      <w:pPr>
        <w:numPr>
          <w:ilvl w:val="0"/>
          <w:numId w:val="7"/>
        </w:numPr>
        <w:spacing w:line="276" w:lineRule="auto"/>
        <w:jc w:val="both"/>
      </w:pPr>
      <w:r w:rsidRPr="0032209B">
        <w:t xml:space="preserve">1.806.883 </w:t>
      </w:r>
      <w:r w:rsidR="00017E44" w:rsidRPr="0032209B">
        <w:t>unità nel 20</w:t>
      </w:r>
      <w:r w:rsidR="00B3191A" w:rsidRPr="0032209B">
        <w:t>1</w:t>
      </w:r>
      <w:r w:rsidR="004559A5" w:rsidRPr="0032209B">
        <w:t>1</w:t>
      </w:r>
      <w:r w:rsidR="00017E44" w:rsidRPr="0032209B">
        <w:t xml:space="preserve"> </w:t>
      </w:r>
      <w:r w:rsidR="004559A5" w:rsidRPr="0032209B">
        <w:t>(55</w:t>
      </w:r>
      <w:r w:rsidR="008C564E" w:rsidRPr="0032209B">
        <w:t>,0</w:t>
      </w:r>
      <w:r w:rsidR="00017E44" w:rsidRPr="0032209B">
        <w:t>%)</w:t>
      </w:r>
    </w:p>
    <w:p w:rsidR="0032209B" w:rsidRPr="005244DC" w:rsidRDefault="00D75419" w:rsidP="00C9737A">
      <w:pPr>
        <w:numPr>
          <w:ilvl w:val="0"/>
          <w:numId w:val="7"/>
        </w:numPr>
        <w:spacing w:line="276" w:lineRule="auto"/>
        <w:jc w:val="both"/>
      </w:pPr>
      <w:r w:rsidRPr="005244DC">
        <w:t>1.797.00</w:t>
      </w:r>
      <w:r w:rsidR="004E619E" w:rsidRPr="005244DC">
        <w:t>3</w:t>
      </w:r>
      <w:r w:rsidR="0032209B" w:rsidRPr="005244DC">
        <w:t xml:space="preserve"> </w:t>
      </w:r>
      <w:r w:rsidR="002F53EE" w:rsidRPr="005244DC">
        <w:t>unità nel 2012</w:t>
      </w:r>
      <w:r w:rsidR="008C564E" w:rsidRPr="005244DC">
        <w:t xml:space="preserve"> (55,5%)</w:t>
      </w:r>
    </w:p>
    <w:p w:rsidR="00D75419" w:rsidRPr="005244DC" w:rsidRDefault="009923B3" w:rsidP="00C9737A">
      <w:pPr>
        <w:numPr>
          <w:ilvl w:val="0"/>
          <w:numId w:val="7"/>
        </w:numPr>
        <w:spacing w:line="276" w:lineRule="auto"/>
        <w:jc w:val="both"/>
      </w:pPr>
      <w:r w:rsidRPr="005244DC">
        <w:t>1.804.</w:t>
      </w:r>
      <w:r w:rsidR="00B902FE">
        <w:t>404</w:t>
      </w:r>
      <w:r w:rsidRPr="005244DC">
        <w:t xml:space="preserve"> unità nel 2013 (55,8%)</w:t>
      </w:r>
    </w:p>
    <w:p w:rsidR="0092189C" w:rsidRDefault="0092189C" w:rsidP="00C9737A">
      <w:pPr>
        <w:numPr>
          <w:ilvl w:val="0"/>
          <w:numId w:val="7"/>
        </w:numPr>
        <w:spacing w:line="276" w:lineRule="auto"/>
        <w:jc w:val="both"/>
      </w:pPr>
      <w:r w:rsidRPr="005244DC">
        <w:t>1.814.</w:t>
      </w:r>
      <w:r w:rsidR="00B902FE">
        <w:t>72</w:t>
      </w:r>
      <w:r w:rsidRPr="005244DC">
        <w:t>1 unità nel 2014 (55,</w:t>
      </w:r>
      <w:r w:rsidR="00B902FE">
        <w:t>7</w:t>
      </w:r>
      <w:r w:rsidRPr="005244DC">
        <w:t>%)</w:t>
      </w:r>
    </w:p>
    <w:p w:rsidR="00B902FE" w:rsidRPr="005244DC" w:rsidRDefault="00B902FE" w:rsidP="00C9737A">
      <w:pPr>
        <w:numPr>
          <w:ilvl w:val="0"/>
          <w:numId w:val="7"/>
        </w:numPr>
        <w:spacing w:line="276" w:lineRule="auto"/>
        <w:jc w:val="both"/>
      </w:pPr>
      <w:r w:rsidRPr="00B902FE">
        <w:t>1.831.173</w:t>
      </w:r>
      <w:r>
        <w:t xml:space="preserve"> unità nel 2015 (56,2%)</w:t>
      </w:r>
    </w:p>
    <w:p w:rsidR="0018657C" w:rsidRDefault="0018657C" w:rsidP="00C9737A">
      <w:pPr>
        <w:spacing w:line="276" w:lineRule="auto"/>
        <w:jc w:val="both"/>
      </w:pPr>
    </w:p>
    <w:p w:rsidR="00FD2167" w:rsidRPr="00F50987" w:rsidRDefault="0060433D" w:rsidP="00C9737A">
      <w:pPr>
        <w:spacing w:line="276" w:lineRule="auto"/>
        <w:jc w:val="both"/>
      </w:pPr>
      <w:r>
        <w:t>I</w:t>
      </w:r>
      <w:r w:rsidR="00311F5F">
        <w:t xml:space="preserve">n valore assoluto </w:t>
      </w:r>
      <w:r w:rsidR="00FD2167" w:rsidRPr="00FD2167">
        <w:t xml:space="preserve">la presenza femminile </w:t>
      </w:r>
      <w:r>
        <w:t xml:space="preserve">ha seguito l’andamento generale con una costante riduzione dal 2008 al 2012. Nel 2013 è cominciato un graduale aumento che è proseguito negli anni successivi. Il valore percentuale che le donne rappresentano sul totale degli occupati nel pubblico impiego </w:t>
      </w:r>
      <w:r w:rsidR="00FD2167" w:rsidRPr="00FD2167">
        <w:t xml:space="preserve">è </w:t>
      </w:r>
      <w:r w:rsidR="005244DC">
        <w:t>stat</w:t>
      </w:r>
      <w:r>
        <w:t>o</w:t>
      </w:r>
      <w:r w:rsidR="005244DC">
        <w:t xml:space="preserve"> </w:t>
      </w:r>
      <w:r>
        <w:t>invece</w:t>
      </w:r>
      <w:r w:rsidR="00311F5F">
        <w:t xml:space="preserve"> in costante aumento</w:t>
      </w:r>
      <w:r w:rsidR="005244DC">
        <w:t>. Nel periodo considerato, consistenti aumenti si sono alternati ad anni relativa stabilità. In linea generale, l</w:t>
      </w:r>
      <w:r w:rsidR="00FD2167" w:rsidRPr="007C6D41">
        <w:t xml:space="preserve">’incremento della quota percentuale </w:t>
      </w:r>
      <w:r w:rsidR="00046B47" w:rsidRPr="007C6D41">
        <w:t>della presenza femminile è dovuto sia al</w:t>
      </w:r>
      <w:r w:rsidR="00FD2167" w:rsidRPr="007C6D41">
        <w:t xml:space="preserve"> maggior </w:t>
      </w:r>
      <w:r w:rsidR="00046B47" w:rsidRPr="007C6D41">
        <w:t>numero di</w:t>
      </w:r>
      <w:r w:rsidR="00FD2167" w:rsidRPr="007C6D41">
        <w:t xml:space="preserve"> assunzioni</w:t>
      </w:r>
      <w:r w:rsidR="00046B47" w:rsidRPr="007C6D41">
        <w:t xml:space="preserve"> </w:t>
      </w:r>
      <w:r w:rsidR="007C6D41" w:rsidRPr="007C6D41">
        <w:t>rispetto agli uomini</w:t>
      </w:r>
      <w:r w:rsidR="005244DC">
        <w:t xml:space="preserve">, sia al minor numero di cessazioni. </w:t>
      </w:r>
      <w:r w:rsidR="00DF03C1">
        <w:t>Nel 2015</w:t>
      </w:r>
      <w:r w:rsidR="007947F3">
        <w:t xml:space="preserve"> il numero delle assunzioni femminili è stato </w:t>
      </w:r>
      <w:r w:rsidR="00DF03C1">
        <w:t xml:space="preserve">infatti </w:t>
      </w:r>
      <w:r w:rsidR="007947F3">
        <w:t>ancora notevolmente superiore a quello delle assunzioni maschili, m</w:t>
      </w:r>
      <w:r w:rsidR="00DF03C1">
        <w:t xml:space="preserve">entre </w:t>
      </w:r>
      <w:r w:rsidR="007947F3">
        <w:t>si è avuto un m</w:t>
      </w:r>
      <w:r w:rsidR="00DF03C1">
        <w:t>inor</w:t>
      </w:r>
      <w:r w:rsidR="007947F3">
        <w:t xml:space="preserve"> numero di cessazioni di donne </w:t>
      </w:r>
      <w:r w:rsidR="00DF03C1">
        <w:t>rispetto a quelle degli uomini.</w:t>
      </w:r>
    </w:p>
    <w:p w:rsidR="003665D0" w:rsidRPr="00890540" w:rsidRDefault="00D86FC8" w:rsidP="00C9737A">
      <w:pPr>
        <w:spacing w:line="276" w:lineRule="auto"/>
        <w:jc w:val="both"/>
      </w:pPr>
      <w:r>
        <w:t>I settori dove la presenza femminile è largamente preminente sono quelli della Scuola,</w:t>
      </w:r>
      <w:r w:rsidRPr="00890540">
        <w:t xml:space="preserve"> Servizio Sanitario Nazionale</w:t>
      </w:r>
      <w:r>
        <w:t xml:space="preserve"> </w:t>
      </w:r>
      <w:r w:rsidR="006A455A">
        <w:t>e</w:t>
      </w:r>
      <w:r w:rsidR="00555E07">
        <w:t xml:space="preserve"> </w:t>
      </w:r>
      <w:r>
        <w:t>Carriera Penitenziaria, mentre all’opposto si collocano i comparti del settore sicurezza-difesa che da ultimi sono stati aperti alla presenza delle donne.</w:t>
      </w:r>
    </w:p>
    <w:p w:rsidR="00FD2167" w:rsidRDefault="00FD2167" w:rsidP="00C9737A">
      <w:pPr>
        <w:spacing w:line="276" w:lineRule="auto"/>
        <w:jc w:val="both"/>
        <w:rPr>
          <w:b/>
        </w:rPr>
      </w:pPr>
    </w:p>
    <w:p w:rsidR="005E4952" w:rsidRPr="007947F3" w:rsidRDefault="00276B57" w:rsidP="00C9737A">
      <w:pPr>
        <w:spacing w:line="276" w:lineRule="auto"/>
        <w:jc w:val="both"/>
        <w:rPr>
          <w:b/>
        </w:rPr>
      </w:pPr>
      <w:r w:rsidRPr="007947F3">
        <w:rPr>
          <w:b/>
        </w:rPr>
        <w:t xml:space="preserve">Distribuzione del personale nei comparti </w:t>
      </w:r>
      <w:r w:rsidR="005E4952" w:rsidRPr="007947F3">
        <w:rPr>
          <w:b/>
        </w:rPr>
        <w:t xml:space="preserve">più numerosi </w:t>
      </w:r>
      <w:r w:rsidRPr="007947F3">
        <w:rPr>
          <w:b/>
        </w:rPr>
        <w:t xml:space="preserve">nell’anno </w:t>
      </w:r>
      <w:r w:rsidR="00CF1A1F" w:rsidRPr="007947F3">
        <w:rPr>
          <w:b/>
        </w:rPr>
        <w:t>201</w:t>
      </w:r>
      <w:r w:rsidR="00DF03C1">
        <w:rPr>
          <w:b/>
        </w:rPr>
        <w:t>5</w:t>
      </w:r>
    </w:p>
    <w:p w:rsidR="00472C6B" w:rsidRPr="007947F3" w:rsidRDefault="005E4952" w:rsidP="00C9737A">
      <w:pPr>
        <w:numPr>
          <w:ilvl w:val="0"/>
          <w:numId w:val="2"/>
        </w:numPr>
        <w:spacing w:line="276" w:lineRule="auto"/>
        <w:jc w:val="both"/>
      </w:pPr>
      <w:r w:rsidRPr="007947F3">
        <w:rPr>
          <w:u w:val="single"/>
        </w:rPr>
        <w:t>Sett</w:t>
      </w:r>
      <w:r w:rsidR="00472C6B" w:rsidRPr="007947F3">
        <w:rPr>
          <w:u w:val="single"/>
        </w:rPr>
        <w:t>ore Statale</w:t>
      </w:r>
      <w:r w:rsidR="00472C6B" w:rsidRPr="007947F3">
        <w:t xml:space="preserve">: </w:t>
      </w:r>
      <w:r w:rsidR="00276B57" w:rsidRPr="007947F3">
        <w:t>Scuola</w:t>
      </w:r>
      <w:r w:rsidR="004E3B56" w:rsidRPr="007947F3">
        <w:t xml:space="preserve"> </w:t>
      </w:r>
      <w:r w:rsidR="00B60A94" w:rsidRPr="007947F3">
        <w:t xml:space="preserve">e AFAM </w:t>
      </w:r>
      <w:r w:rsidR="001530F8" w:rsidRPr="007947F3">
        <w:t>3</w:t>
      </w:r>
      <w:r w:rsidR="00DF03C1">
        <w:t>3</w:t>
      </w:r>
      <w:r w:rsidR="001530F8" w:rsidRPr="007947F3">
        <w:t>,</w:t>
      </w:r>
      <w:r w:rsidR="00DF03C1">
        <w:t>6</w:t>
      </w:r>
      <w:r w:rsidR="001530F8" w:rsidRPr="007947F3">
        <w:t>%</w:t>
      </w:r>
      <w:r w:rsidR="0032209B" w:rsidRPr="007947F3">
        <w:t>;</w:t>
      </w:r>
      <w:r w:rsidR="001530F8" w:rsidRPr="007947F3">
        <w:t xml:space="preserve"> </w:t>
      </w:r>
      <w:r w:rsidR="00276B57" w:rsidRPr="007947F3">
        <w:t>Corpi di polizia</w:t>
      </w:r>
      <w:r w:rsidR="00B60A94" w:rsidRPr="007947F3">
        <w:t xml:space="preserve"> </w:t>
      </w:r>
      <w:r w:rsidR="001530F8" w:rsidRPr="007947F3">
        <w:t>9,</w:t>
      </w:r>
      <w:r w:rsidR="00DF03C1">
        <w:t>6</w:t>
      </w:r>
      <w:r w:rsidR="001530F8" w:rsidRPr="007947F3">
        <w:t>%</w:t>
      </w:r>
      <w:r w:rsidR="0032209B" w:rsidRPr="007947F3">
        <w:t>;</w:t>
      </w:r>
      <w:r w:rsidR="001530F8" w:rsidRPr="007947F3">
        <w:t xml:space="preserve"> </w:t>
      </w:r>
      <w:r w:rsidR="004E3B56" w:rsidRPr="007947F3">
        <w:t xml:space="preserve">Ministeri </w:t>
      </w:r>
      <w:r w:rsidR="000D6ACC" w:rsidRPr="007947F3">
        <w:t>4</w:t>
      </w:r>
      <w:r w:rsidR="00B60A94" w:rsidRPr="007947F3">
        <w:t>,</w:t>
      </w:r>
      <w:r w:rsidR="00DF03C1">
        <w:t>7</w:t>
      </w:r>
      <w:r w:rsidR="00276B57" w:rsidRPr="007947F3">
        <w:t>%;</w:t>
      </w:r>
      <w:r w:rsidR="004E3B56" w:rsidRPr="007947F3">
        <w:t xml:space="preserve"> Forze armate </w:t>
      </w:r>
      <w:r w:rsidR="001530F8" w:rsidRPr="007947F3">
        <w:t>5,</w:t>
      </w:r>
      <w:r w:rsidR="00DF03C1">
        <w:t>6</w:t>
      </w:r>
      <w:r w:rsidR="00B60A94" w:rsidRPr="007947F3">
        <w:t>%</w:t>
      </w:r>
      <w:r w:rsidR="00472C6B" w:rsidRPr="007947F3">
        <w:t>;</w:t>
      </w:r>
    </w:p>
    <w:p w:rsidR="00472C6B" w:rsidRPr="007947F3" w:rsidRDefault="00472C6B" w:rsidP="00C9737A">
      <w:pPr>
        <w:numPr>
          <w:ilvl w:val="0"/>
          <w:numId w:val="2"/>
        </w:numPr>
        <w:spacing w:line="276" w:lineRule="auto"/>
        <w:jc w:val="both"/>
      </w:pPr>
      <w:r w:rsidRPr="007947F3">
        <w:rPr>
          <w:u w:val="single"/>
        </w:rPr>
        <w:t>Settore pubblico non Statale.</w:t>
      </w:r>
      <w:r w:rsidRPr="007947F3">
        <w:t xml:space="preserve"> S</w:t>
      </w:r>
      <w:r w:rsidR="00FA5B03" w:rsidRPr="007947F3">
        <w:t xml:space="preserve">ervizio Sanitario nazionale </w:t>
      </w:r>
      <w:r w:rsidR="001530F8" w:rsidRPr="007947F3">
        <w:t>20,</w:t>
      </w:r>
      <w:r w:rsidR="00DF03C1">
        <w:t>1</w:t>
      </w:r>
      <w:r w:rsidR="001530F8" w:rsidRPr="007947F3">
        <w:t>%</w:t>
      </w:r>
      <w:r w:rsidR="0032209B" w:rsidRPr="007947F3">
        <w:t>;</w:t>
      </w:r>
      <w:r w:rsidR="001530F8" w:rsidRPr="007947F3">
        <w:t xml:space="preserve"> </w:t>
      </w:r>
      <w:r w:rsidRPr="007947F3">
        <w:t>Regioni</w:t>
      </w:r>
      <w:r w:rsidR="00FA5B03" w:rsidRPr="007947F3">
        <w:t xml:space="preserve"> ed autonomie locali (CCNL</w:t>
      </w:r>
      <w:r w:rsidR="00B60A94" w:rsidRPr="007947F3">
        <w:t xml:space="preserve"> e Regioni a statuto speciale</w:t>
      </w:r>
      <w:r w:rsidR="00FA5B03" w:rsidRPr="007947F3">
        <w:t xml:space="preserve">) </w:t>
      </w:r>
      <w:r w:rsidR="001530F8" w:rsidRPr="007947F3">
        <w:t>17,</w:t>
      </w:r>
      <w:r w:rsidR="00DF03C1">
        <w:t>0</w:t>
      </w:r>
      <w:r w:rsidR="001530F8" w:rsidRPr="007947F3">
        <w:t>%.</w:t>
      </w:r>
    </w:p>
    <w:p w:rsidR="00B9762D" w:rsidRPr="00F42386" w:rsidRDefault="00B9762D" w:rsidP="00C9737A">
      <w:pPr>
        <w:spacing w:line="276" w:lineRule="auto"/>
        <w:ind w:left="420"/>
        <w:jc w:val="both"/>
        <w:rPr>
          <w:highlight w:val="yellow"/>
        </w:rPr>
      </w:pPr>
    </w:p>
    <w:p w:rsidR="00A555C8" w:rsidRPr="00F42386" w:rsidRDefault="00276B57" w:rsidP="00C9737A">
      <w:pPr>
        <w:spacing w:line="276" w:lineRule="auto"/>
        <w:jc w:val="both"/>
      </w:pPr>
      <w:r w:rsidRPr="007A4920">
        <w:rPr>
          <w:b/>
        </w:rPr>
        <w:t xml:space="preserve">Personale </w:t>
      </w:r>
      <w:r w:rsidR="001F607C" w:rsidRPr="007A4920">
        <w:rPr>
          <w:b/>
        </w:rPr>
        <w:t xml:space="preserve">(a tempo indeterminato) </w:t>
      </w:r>
      <w:r w:rsidRPr="007A4920">
        <w:rPr>
          <w:b/>
        </w:rPr>
        <w:t>in part</w:t>
      </w:r>
      <w:r w:rsidR="00867357" w:rsidRPr="007A4920">
        <w:rPr>
          <w:b/>
        </w:rPr>
        <w:t>-</w:t>
      </w:r>
      <w:r w:rsidRPr="007A4920">
        <w:rPr>
          <w:b/>
        </w:rPr>
        <w:t>time e incidenza sul totale</w:t>
      </w:r>
      <w:r w:rsidR="00A555C8" w:rsidRPr="007A4920">
        <w:rPr>
          <w:b/>
        </w:rPr>
        <w:t xml:space="preserve"> del personale a tempo indeterminato</w:t>
      </w:r>
      <w:r w:rsidRPr="007A4920">
        <w:t>:</w:t>
      </w:r>
    </w:p>
    <w:p w:rsidR="00B60A94" w:rsidRPr="0032209B" w:rsidRDefault="005D7654" w:rsidP="00C9737A">
      <w:pPr>
        <w:numPr>
          <w:ilvl w:val="0"/>
          <w:numId w:val="9"/>
        </w:numPr>
        <w:spacing w:line="276" w:lineRule="auto"/>
        <w:jc w:val="both"/>
      </w:pPr>
      <w:r w:rsidRPr="0032209B">
        <w:t xml:space="preserve">155.705 </w:t>
      </w:r>
      <w:r w:rsidR="00B60A94" w:rsidRPr="0032209B">
        <w:t>unità nel 2007 (</w:t>
      </w:r>
      <w:r w:rsidR="00A45EFA" w:rsidRPr="0032209B">
        <w:t>4,5</w:t>
      </w:r>
      <w:r w:rsidR="00B60A94" w:rsidRPr="0032209B">
        <w:t>%)</w:t>
      </w:r>
    </w:p>
    <w:p w:rsidR="00B60A94" w:rsidRPr="0032209B" w:rsidRDefault="00B60A94" w:rsidP="00C9737A">
      <w:pPr>
        <w:numPr>
          <w:ilvl w:val="0"/>
          <w:numId w:val="9"/>
        </w:numPr>
        <w:spacing w:line="276" w:lineRule="auto"/>
        <w:jc w:val="both"/>
      </w:pPr>
      <w:r w:rsidRPr="0032209B">
        <w:t>168.767 unità nel 2008 (</w:t>
      </w:r>
      <w:r w:rsidR="00A45EFA" w:rsidRPr="0032209B">
        <w:t>4,9</w:t>
      </w:r>
      <w:r w:rsidRPr="0032209B">
        <w:t>%)</w:t>
      </w:r>
    </w:p>
    <w:p w:rsidR="00A555C8" w:rsidRPr="0032209B" w:rsidRDefault="00B60A94" w:rsidP="00C9737A">
      <w:pPr>
        <w:numPr>
          <w:ilvl w:val="0"/>
          <w:numId w:val="9"/>
        </w:numPr>
        <w:spacing w:line="276" w:lineRule="auto"/>
        <w:jc w:val="both"/>
      </w:pPr>
      <w:r w:rsidRPr="0032209B">
        <w:t>171.236</w:t>
      </w:r>
      <w:r w:rsidR="00132C33" w:rsidRPr="0032209B">
        <w:t xml:space="preserve"> </w:t>
      </w:r>
      <w:r w:rsidRPr="0032209B">
        <w:t>unità nel 2009</w:t>
      </w:r>
      <w:r w:rsidR="00A555C8" w:rsidRPr="0032209B">
        <w:t xml:space="preserve"> (</w:t>
      </w:r>
      <w:r w:rsidR="00B8563B" w:rsidRPr="0032209B">
        <w:t>5,</w:t>
      </w:r>
      <w:r w:rsidR="00A45EFA" w:rsidRPr="0032209B">
        <w:t>1</w:t>
      </w:r>
      <w:r w:rsidR="00A555C8" w:rsidRPr="0032209B">
        <w:t>%)</w:t>
      </w:r>
    </w:p>
    <w:p w:rsidR="008F3754" w:rsidRPr="0032209B" w:rsidRDefault="00132C33" w:rsidP="00C9737A">
      <w:pPr>
        <w:numPr>
          <w:ilvl w:val="0"/>
          <w:numId w:val="9"/>
        </w:numPr>
        <w:spacing w:line="276" w:lineRule="auto"/>
        <w:jc w:val="both"/>
      </w:pPr>
      <w:r w:rsidRPr="0032209B">
        <w:t xml:space="preserve">174.323 </w:t>
      </w:r>
      <w:r w:rsidR="00B60A94" w:rsidRPr="0032209B">
        <w:t>unità nel 2010</w:t>
      </w:r>
      <w:r w:rsidR="008F3754" w:rsidRPr="0032209B">
        <w:t xml:space="preserve"> (5,</w:t>
      </w:r>
      <w:r w:rsidR="00A45EFA" w:rsidRPr="0032209B">
        <w:t>3</w:t>
      </w:r>
      <w:r w:rsidR="008F3754" w:rsidRPr="0032209B">
        <w:t>%)</w:t>
      </w:r>
    </w:p>
    <w:p w:rsidR="002F726C" w:rsidRPr="00D86FC8" w:rsidRDefault="00132C33" w:rsidP="00C9737A">
      <w:pPr>
        <w:numPr>
          <w:ilvl w:val="0"/>
          <w:numId w:val="9"/>
        </w:numPr>
        <w:spacing w:line="276" w:lineRule="auto"/>
        <w:jc w:val="both"/>
      </w:pPr>
      <w:r w:rsidRPr="00D86FC8">
        <w:lastRenderedPageBreak/>
        <w:t xml:space="preserve">164.264 </w:t>
      </w:r>
      <w:r w:rsidR="00B60A94" w:rsidRPr="00D86FC8">
        <w:t>unità nel 2011</w:t>
      </w:r>
      <w:r w:rsidR="002F726C" w:rsidRPr="00D86FC8">
        <w:t xml:space="preserve"> </w:t>
      </w:r>
      <w:r w:rsidR="0028424C" w:rsidRPr="00D86FC8">
        <w:t>(5</w:t>
      </w:r>
      <w:r w:rsidR="0032209B" w:rsidRPr="00D86FC8">
        <w:t>,0</w:t>
      </w:r>
      <w:r w:rsidR="002F726C" w:rsidRPr="00D86FC8">
        <w:t>%)</w:t>
      </w:r>
    </w:p>
    <w:p w:rsidR="003E7C03" w:rsidRPr="00D86FC8" w:rsidRDefault="00132C33" w:rsidP="00C9737A">
      <w:pPr>
        <w:numPr>
          <w:ilvl w:val="0"/>
          <w:numId w:val="9"/>
        </w:numPr>
        <w:spacing w:line="276" w:lineRule="auto"/>
        <w:jc w:val="both"/>
      </w:pPr>
      <w:r w:rsidRPr="00D86FC8">
        <w:t>173.</w:t>
      </w:r>
      <w:r w:rsidR="001C597C" w:rsidRPr="00D86FC8">
        <w:t>452</w:t>
      </w:r>
      <w:r w:rsidRPr="00D86FC8">
        <w:t xml:space="preserve"> </w:t>
      </w:r>
      <w:r w:rsidR="003E7C03" w:rsidRPr="00D86FC8">
        <w:t>unità nel 2012 (5,4%)</w:t>
      </w:r>
    </w:p>
    <w:p w:rsidR="00132C33" w:rsidRPr="00D86FC8" w:rsidRDefault="00132C33" w:rsidP="00C9737A">
      <w:pPr>
        <w:numPr>
          <w:ilvl w:val="0"/>
          <w:numId w:val="9"/>
        </w:numPr>
        <w:spacing w:line="276" w:lineRule="auto"/>
        <w:jc w:val="both"/>
      </w:pPr>
      <w:r w:rsidRPr="00D86FC8">
        <w:t>173.</w:t>
      </w:r>
      <w:r w:rsidR="001C597C" w:rsidRPr="00D86FC8">
        <w:t>7</w:t>
      </w:r>
      <w:r w:rsidR="007A4920">
        <w:t>77</w:t>
      </w:r>
      <w:r w:rsidRPr="00D86FC8">
        <w:t xml:space="preserve"> unità nel 2013 (5,4%)</w:t>
      </w:r>
    </w:p>
    <w:p w:rsidR="000D6ACC" w:rsidRDefault="007A4920" w:rsidP="00C9737A">
      <w:pPr>
        <w:numPr>
          <w:ilvl w:val="0"/>
          <w:numId w:val="9"/>
        </w:numPr>
        <w:spacing w:line="276" w:lineRule="auto"/>
        <w:jc w:val="both"/>
      </w:pPr>
      <w:r>
        <w:t>176.737</w:t>
      </w:r>
      <w:r w:rsidR="000830B2" w:rsidRPr="00D86FC8">
        <w:t xml:space="preserve"> unità nel 2014 (5,4%)</w:t>
      </w:r>
    </w:p>
    <w:p w:rsidR="007A4920" w:rsidRPr="00D86FC8" w:rsidRDefault="007A4920" w:rsidP="00C9737A">
      <w:pPr>
        <w:numPr>
          <w:ilvl w:val="0"/>
          <w:numId w:val="9"/>
        </w:numPr>
        <w:spacing w:line="276" w:lineRule="auto"/>
        <w:jc w:val="both"/>
      </w:pPr>
      <w:r>
        <w:t>181.283 unità nel 2015 (5,6%)</w:t>
      </w:r>
    </w:p>
    <w:p w:rsidR="003E7C03" w:rsidRPr="00F42386" w:rsidRDefault="003E7C03" w:rsidP="00C9737A">
      <w:pPr>
        <w:spacing w:line="276" w:lineRule="auto"/>
        <w:ind w:left="420"/>
        <w:jc w:val="both"/>
      </w:pPr>
    </w:p>
    <w:p w:rsidR="001F607C" w:rsidRPr="00F42386" w:rsidRDefault="001F607C" w:rsidP="00C9737A">
      <w:pPr>
        <w:spacing w:line="276" w:lineRule="auto"/>
        <w:jc w:val="both"/>
      </w:pPr>
      <w:r w:rsidRPr="00F42386">
        <w:rPr>
          <w:b/>
        </w:rPr>
        <w:t>Totale del p</w:t>
      </w:r>
      <w:r w:rsidR="00276B57" w:rsidRPr="00F42386">
        <w:rPr>
          <w:b/>
        </w:rPr>
        <w:t xml:space="preserve">ersonale </w:t>
      </w:r>
      <w:r w:rsidRPr="00F42386">
        <w:rPr>
          <w:b/>
        </w:rPr>
        <w:t xml:space="preserve">con rapporto di lavoro </w:t>
      </w:r>
      <w:r w:rsidR="00276B57" w:rsidRPr="00F42386">
        <w:rPr>
          <w:b/>
        </w:rPr>
        <w:t>a tempo determinato e con c</w:t>
      </w:r>
      <w:r w:rsidR="00F90E0A" w:rsidRPr="00F42386">
        <w:rPr>
          <w:b/>
        </w:rPr>
        <w:t>ontratto di formazione e lavoro</w:t>
      </w:r>
      <w:r w:rsidR="00276B57" w:rsidRPr="00F42386">
        <w:rPr>
          <w:b/>
        </w:rPr>
        <w:t xml:space="preserve"> </w:t>
      </w:r>
      <w:r w:rsidR="00F90E0A" w:rsidRPr="00F42386">
        <w:rPr>
          <w:b/>
        </w:rPr>
        <w:t xml:space="preserve">e </w:t>
      </w:r>
      <w:r w:rsidR="00276B57" w:rsidRPr="00F42386">
        <w:rPr>
          <w:b/>
        </w:rPr>
        <w:t>incidenza sul totale a tempo indeterminato</w:t>
      </w:r>
      <w:r w:rsidR="00417BB5" w:rsidRPr="00F42386">
        <w:rPr>
          <w:rStyle w:val="Rimandonotaapidipagina"/>
          <w:b/>
        </w:rPr>
        <w:footnoteReference w:id="3"/>
      </w:r>
      <w:r w:rsidR="000356BB" w:rsidRPr="00F42386">
        <w:t>:</w:t>
      </w:r>
    </w:p>
    <w:p w:rsidR="003B2064" w:rsidRPr="0032209B" w:rsidRDefault="00A85B86" w:rsidP="00C9737A">
      <w:pPr>
        <w:numPr>
          <w:ilvl w:val="0"/>
          <w:numId w:val="10"/>
        </w:numPr>
        <w:spacing w:line="276" w:lineRule="auto"/>
        <w:jc w:val="both"/>
      </w:pPr>
      <w:r w:rsidRPr="0032209B">
        <w:t>117.76</w:t>
      </w:r>
      <w:r w:rsidR="0032209B" w:rsidRPr="0032209B">
        <w:t>3</w:t>
      </w:r>
      <w:r w:rsidR="00E94010" w:rsidRPr="0032209B">
        <w:t xml:space="preserve"> </w:t>
      </w:r>
      <w:r w:rsidR="003B2064" w:rsidRPr="0032209B">
        <w:t>unità nel 2007 (3,4%)</w:t>
      </w:r>
    </w:p>
    <w:p w:rsidR="003B2064" w:rsidRPr="0032209B" w:rsidRDefault="003B2064" w:rsidP="00C9737A">
      <w:pPr>
        <w:numPr>
          <w:ilvl w:val="0"/>
          <w:numId w:val="10"/>
        </w:numPr>
        <w:spacing w:line="276" w:lineRule="auto"/>
        <w:jc w:val="both"/>
      </w:pPr>
      <w:r w:rsidRPr="0032209B">
        <w:t>109.083 unità nel 2008 (3,2%)</w:t>
      </w:r>
    </w:p>
    <w:p w:rsidR="00276B57" w:rsidRPr="0032209B" w:rsidRDefault="003B2064" w:rsidP="00C9737A">
      <w:pPr>
        <w:numPr>
          <w:ilvl w:val="0"/>
          <w:numId w:val="10"/>
        </w:numPr>
        <w:spacing w:line="276" w:lineRule="auto"/>
        <w:jc w:val="both"/>
      </w:pPr>
      <w:r w:rsidRPr="0032209B">
        <w:t xml:space="preserve">  95.260</w:t>
      </w:r>
      <w:r w:rsidR="00A85B86" w:rsidRPr="0032209B">
        <w:t xml:space="preserve"> </w:t>
      </w:r>
      <w:r w:rsidR="008F3754" w:rsidRPr="0032209B">
        <w:t xml:space="preserve"> </w:t>
      </w:r>
      <w:r w:rsidR="001F607C" w:rsidRPr="0032209B">
        <w:t xml:space="preserve">unità </w:t>
      </w:r>
      <w:r w:rsidR="008F3754" w:rsidRPr="0032209B">
        <w:t>nel 200</w:t>
      </w:r>
      <w:r w:rsidRPr="0032209B">
        <w:t>9</w:t>
      </w:r>
      <w:r w:rsidR="00E44B04" w:rsidRPr="0032209B">
        <w:t xml:space="preserve"> (</w:t>
      </w:r>
      <w:r w:rsidRPr="0032209B">
        <w:t>2,8</w:t>
      </w:r>
      <w:r w:rsidR="00E44B04" w:rsidRPr="0032209B">
        <w:t>%)</w:t>
      </w:r>
    </w:p>
    <w:p w:rsidR="001F607C" w:rsidRPr="00FF4132" w:rsidRDefault="003B2064" w:rsidP="00C9737A">
      <w:pPr>
        <w:numPr>
          <w:ilvl w:val="0"/>
          <w:numId w:val="10"/>
        </w:numPr>
        <w:spacing w:line="276" w:lineRule="auto"/>
        <w:jc w:val="both"/>
      </w:pPr>
      <w:r w:rsidRPr="00FF4132">
        <w:t xml:space="preserve">  </w:t>
      </w:r>
      <w:r w:rsidR="00E713E8" w:rsidRPr="00FF4132">
        <w:t>92.061</w:t>
      </w:r>
      <w:r w:rsidRPr="00FF4132">
        <w:t xml:space="preserve"> unità nel 2010</w:t>
      </w:r>
      <w:r w:rsidR="001F607C" w:rsidRPr="00FF4132">
        <w:t xml:space="preserve"> (</w:t>
      </w:r>
      <w:r w:rsidR="00B53FF8" w:rsidRPr="00FF4132">
        <w:t>2,</w:t>
      </w:r>
      <w:r w:rsidRPr="00FF4132">
        <w:t>8</w:t>
      </w:r>
      <w:r w:rsidR="001F607C" w:rsidRPr="00FF4132">
        <w:t>%)</w:t>
      </w:r>
    </w:p>
    <w:p w:rsidR="002F726C" w:rsidRPr="00FF4132" w:rsidRDefault="0032209B" w:rsidP="00C9737A">
      <w:pPr>
        <w:numPr>
          <w:ilvl w:val="0"/>
          <w:numId w:val="10"/>
        </w:numPr>
        <w:spacing w:line="276" w:lineRule="auto"/>
        <w:jc w:val="both"/>
      </w:pPr>
      <w:r w:rsidRPr="00FF4132">
        <w:t xml:space="preserve">  </w:t>
      </w:r>
      <w:r w:rsidR="00A85B86" w:rsidRPr="00FF4132">
        <w:t>84.609</w:t>
      </w:r>
      <w:r w:rsidR="002F726C" w:rsidRPr="00FF4132">
        <w:t xml:space="preserve"> unità nel 20</w:t>
      </w:r>
      <w:r w:rsidR="003B2064" w:rsidRPr="00FF4132">
        <w:t>11</w:t>
      </w:r>
      <w:r w:rsidR="002F726C" w:rsidRPr="00FF4132">
        <w:t xml:space="preserve"> (</w:t>
      </w:r>
      <w:r w:rsidR="001556C2" w:rsidRPr="00FF4132">
        <w:t>2</w:t>
      </w:r>
      <w:r w:rsidR="002F726C" w:rsidRPr="00FF4132">
        <w:t>,</w:t>
      </w:r>
      <w:r w:rsidR="003B2064" w:rsidRPr="00FF4132">
        <w:t>6</w:t>
      </w:r>
      <w:r w:rsidR="002F726C" w:rsidRPr="00FF4132">
        <w:t>%)</w:t>
      </w:r>
    </w:p>
    <w:p w:rsidR="00E713E8" w:rsidRPr="00FF4132" w:rsidRDefault="00E713E8" w:rsidP="00C9737A">
      <w:pPr>
        <w:numPr>
          <w:ilvl w:val="0"/>
          <w:numId w:val="10"/>
        </w:numPr>
        <w:spacing w:line="276" w:lineRule="auto"/>
        <w:jc w:val="both"/>
      </w:pPr>
      <w:r w:rsidRPr="00FF4132">
        <w:t xml:space="preserve">  </w:t>
      </w:r>
      <w:r w:rsidR="00A85B86" w:rsidRPr="00FF4132">
        <w:t>79.</w:t>
      </w:r>
      <w:r w:rsidR="001377A3" w:rsidRPr="00FF4132">
        <w:t>823</w:t>
      </w:r>
      <w:r w:rsidR="00A85B86" w:rsidRPr="00FF4132">
        <w:t xml:space="preserve"> </w:t>
      </w:r>
      <w:r w:rsidRPr="00FF4132">
        <w:t>unità nel 201</w:t>
      </w:r>
      <w:r w:rsidR="00F4165A" w:rsidRPr="00FF4132">
        <w:t>2</w:t>
      </w:r>
      <w:r w:rsidRPr="00FF4132">
        <w:t xml:space="preserve"> (2,5%)</w:t>
      </w:r>
    </w:p>
    <w:p w:rsidR="00A85B86" w:rsidRPr="00FF4132" w:rsidRDefault="00040029" w:rsidP="00C9737A">
      <w:pPr>
        <w:numPr>
          <w:ilvl w:val="0"/>
          <w:numId w:val="10"/>
        </w:numPr>
        <w:spacing w:line="276" w:lineRule="auto"/>
        <w:jc w:val="both"/>
      </w:pPr>
      <w:r w:rsidRPr="00FF4132">
        <w:t xml:space="preserve">  </w:t>
      </w:r>
      <w:r w:rsidR="00A85B86" w:rsidRPr="00FF4132">
        <w:t>7</w:t>
      </w:r>
      <w:r w:rsidR="007A4920">
        <w:t>7</w:t>
      </w:r>
      <w:r w:rsidR="00A85B86" w:rsidRPr="00FF4132">
        <w:t>.</w:t>
      </w:r>
      <w:r w:rsidR="007A4920">
        <w:t>95</w:t>
      </w:r>
      <w:r w:rsidR="001377A3" w:rsidRPr="00FF4132">
        <w:t>7</w:t>
      </w:r>
      <w:r w:rsidR="00A85B86" w:rsidRPr="00FF4132">
        <w:t xml:space="preserve"> unità nel 2013</w:t>
      </w:r>
      <w:r w:rsidR="00801A59" w:rsidRPr="00FF4132">
        <w:t xml:space="preserve"> (2,4%)</w:t>
      </w:r>
    </w:p>
    <w:p w:rsidR="00276B57" w:rsidRDefault="00F92218" w:rsidP="00C9737A">
      <w:pPr>
        <w:numPr>
          <w:ilvl w:val="0"/>
          <w:numId w:val="10"/>
        </w:numPr>
        <w:spacing w:line="276" w:lineRule="auto"/>
        <w:jc w:val="both"/>
      </w:pPr>
      <w:r w:rsidRPr="00FF4132">
        <w:t xml:space="preserve">  79.</w:t>
      </w:r>
      <w:r w:rsidR="007A4920">
        <w:t>742</w:t>
      </w:r>
      <w:r w:rsidRPr="00FF4132">
        <w:t xml:space="preserve"> uni</w:t>
      </w:r>
      <w:r w:rsidR="007A4920">
        <w:t>tà nel 2014 (2,4</w:t>
      </w:r>
      <w:r w:rsidRPr="00FF4132">
        <w:t>%)</w:t>
      </w:r>
    </w:p>
    <w:p w:rsidR="007A4920" w:rsidRPr="00FF4132" w:rsidRDefault="007A4920" w:rsidP="00C9737A">
      <w:pPr>
        <w:numPr>
          <w:ilvl w:val="0"/>
          <w:numId w:val="10"/>
        </w:numPr>
        <w:spacing w:line="276" w:lineRule="auto"/>
        <w:jc w:val="both"/>
      </w:pPr>
      <w:r>
        <w:t xml:space="preserve">  81.897 unità nel 2015 (2,5%)</w:t>
      </w:r>
    </w:p>
    <w:p w:rsidR="00F92218" w:rsidRPr="00F52EB5" w:rsidRDefault="00F92218" w:rsidP="00C9737A">
      <w:pPr>
        <w:spacing w:line="276" w:lineRule="auto"/>
        <w:jc w:val="both"/>
      </w:pPr>
    </w:p>
    <w:p w:rsidR="00276B57" w:rsidRDefault="00276B57" w:rsidP="00C9737A">
      <w:pPr>
        <w:spacing w:line="276" w:lineRule="auto"/>
        <w:jc w:val="both"/>
        <w:rPr>
          <w:b/>
        </w:rPr>
      </w:pPr>
      <w:r w:rsidRPr="00887F47">
        <w:rPr>
          <w:b/>
        </w:rPr>
        <w:t>Personale estraneo all’amministrazione (senza rapporto di impiego</w:t>
      </w:r>
      <w:r w:rsidR="00FF4132">
        <w:rPr>
          <w:b/>
        </w:rPr>
        <w:t>):</w:t>
      </w:r>
    </w:p>
    <w:p w:rsidR="00067D2A" w:rsidRPr="00461C37" w:rsidRDefault="00067D2A" w:rsidP="00C9737A">
      <w:pPr>
        <w:spacing w:line="276" w:lineRule="auto"/>
        <w:jc w:val="center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2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00C96" w:rsidRPr="00FF4132" w:rsidTr="00D00C96"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b/>
                <w:sz w:val="18"/>
              </w:rPr>
              <w:t>2007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b/>
                <w:sz w:val="1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b/>
                <w:sz w:val="18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b/>
                <w:sz w:val="18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b/>
                <w:sz w:val="18"/>
              </w:rPr>
              <w:t>2011</w:t>
            </w:r>
          </w:p>
        </w:tc>
        <w:tc>
          <w:tcPr>
            <w:tcW w:w="0" w:type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b/>
                <w:sz w:val="18"/>
              </w:rPr>
              <w:t>2012</w:t>
            </w:r>
          </w:p>
        </w:tc>
        <w:tc>
          <w:tcPr>
            <w:tcW w:w="0" w:type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b/>
                <w:sz w:val="18"/>
              </w:rPr>
              <w:t>2013</w:t>
            </w:r>
          </w:p>
        </w:tc>
        <w:tc>
          <w:tcPr>
            <w:tcW w:w="0" w:type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b/>
                <w:sz w:val="18"/>
              </w:rPr>
              <w:t>2014</w:t>
            </w:r>
          </w:p>
        </w:tc>
        <w:tc>
          <w:tcPr>
            <w:tcW w:w="0" w:type="auto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</w:tr>
      <w:tr w:rsidR="00D00C96" w:rsidRPr="00FF4132" w:rsidTr="00D00C96">
        <w:trPr>
          <w:trHeight w:val="39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sz w:val="18"/>
              </w:rPr>
              <w:t>Lavoratori interinali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11.563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11.022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11.429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11.677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9.109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8043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7.8</w:t>
            </w:r>
            <w:r>
              <w:rPr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9.</w:t>
            </w:r>
            <w:r>
              <w:rPr>
                <w:sz w:val="18"/>
              </w:rPr>
              <w:t>171</w:t>
            </w:r>
          </w:p>
        </w:tc>
        <w:tc>
          <w:tcPr>
            <w:tcW w:w="0" w:type="auto"/>
            <w:vAlign w:val="center"/>
          </w:tcPr>
          <w:p w:rsidR="00D00C96" w:rsidRPr="00D00C96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D00C96">
              <w:rPr>
                <w:sz w:val="18"/>
              </w:rPr>
              <w:t>9.970</w:t>
            </w:r>
          </w:p>
        </w:tc>
      </w:tr>
      <w:tr w:rsidR="00D00C96" w:rsidRPr="00FF4132" w:rsidTr="00D00C96">
        <w:trPr>
          <w:trHeight w:val="448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sz w:val="18"/>
              </w:rPr>
              <w:t>LSU - lavoratori addetti a lavori socialmente utili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24.962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22.030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20.331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18.468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17.867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17.057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16.9</w:t>
            </w:r>
            <w:r>
              <w:rPr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17.</w:t>
            </w:r>
            <w:r>
              <w:rPr>
                <w:sz w:val="18"/>
              </w:rPr>
              <w:t>849</w:t>
            </w:r>
          </w:p>
        </w:tc>
        <w:tc>
          <w:tcPr>
            <w:tcW w:w="0" w:type="auto"/>
            <w:vAlign w:val="center"/>
          </w:tcPr>
          <w:p w:rsidR="00D00C96" w:rsidRPr="00D00C96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D00C96">
              <w:rPr>
                <w:sz w:val="18"/>
              </w:rPr>
              <w:t>14.090</w:t>
            </w:r>
          </w:p>
        </w:tc>
      </w:tr>
      <w:tr w:rsidR="00D00C96" w:rsidRPr="00FF4132" w:rsidTr="00D00C96">
        <w:trPr>
          <w:trHeight w:val="385"/>
        </w:trPr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b/>
                <w:sz w:val="18"/>
              </w:rPr>
            </w:pPr>
            <w:r w:rsidRPr="00FF4132">
              <w:rPr>
                <w:sz w:val="18"/>
              </w:rPr>
              <w:t>Collaborazioni coordinate e continuative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81.743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66.717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48.908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41.</w:t>
            </w:r>
            <w:r>
              <w:rPr>
                <w:sz w:val="18"/>
              </w:rPr>
              <w:t>698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41.818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C9737A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37.528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33.18</w:t>
            </w:r>
            <w:r>
              <w:rPr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:rsidR="00D00C96" w:rsidRPr="00FF4132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FF4132">
              <w:rPr>
                <w:sz w:val="18"/>
              </w:rPr>
              <w:t>39.</w:t>
            </w:r>
            <w:r>
              <w:rPr>
                <w:sz w:val="18"/>
              </w:rPr>
              <w:t>318</w:t>
            </w:r>
          </w:p>
        </w:tc>
        <w:tc>
          <w:tcPr>
            <w:tcW w:w="0" w:type="auto"/>
            <w:vAlign w:val="center"/>
          </w:tcPr>
          <w:p w:rsidR="00D00C96" w:rsidRPr="00D00C96" w:rsidRDefault="00D00C96" w:rsidP="00D00C96">
            <w:pPr>
              <w:spacing w:line="276" w:lineRule="auto"/>
              <w:jc w:val="center"/>
              <w:rPr>
                <w:sz w:val="18"/>
              </w:rPr>
            </w:pPr>
            <w:r w:rsidRPr="00D00C96">
              <w:rPr>
                <w:sz w:val="18"/>
              </w:rPr>
              <w:t>37.776</w:t>
            </w:r>
          </w:p>
        </w:tc>
      </w:tr>
    </w:tbl>
    <w:p w:rsidR="00070D72" w:rsidRPr="00F42386" w:rsidRDefault="00070D72" w:rsidP="00C9737A">
      <w:pPr>
        <w:spacing w:line="276" w:lineRule="auto"/>
        <w:jc w:val="both"/>
        <w:rPr>
          <w:b/>
        </w:rPr>
      </w:pPr>
    </w:p>
    <w:p w:rsidR="00C71015" w:rsidRPr="00F42386" w:rsidRDefault="00C71015" w:rsidP="00C9737A">
      <w:pPr>
        <w:spacing w:line="276" w:lineRule="auto"/>
        <w:jc w:val="both"/>
        <w:rPr>
          <w:i/>
          <w:highlight w:val="yellow"/>
          <w:u w:val="single"/>
        </w:rPr>
      </w:pPr>
    </w:p>
    <w:p w:rsidR="00276B57" w:rsidRPr="00731B12" w:rsidRDefault="00C71015" w:rsidP="00C9737A">
      <w:pPr>
        <w:spacing w:line="276" w:lineRule="auto"/>
        <w:jc w:val="both"/>
        <w:rPr>
          <w:b/>
        </w:rPr>
      </w:pPr>
      <w:r w:rsidRPr="00731B12">
        <w:rPr>
          <w:b/>
        </w:rPr>
        <w:t>D</w:t>
      </w:r>
      <w:r w:rsidR="00276B57" w:rsidRPr="00731B12">
        <w:rPr>
          <w:b/>
        </w:rPr>
        <w:t xml:space="preserve">istribuzione </w:t>
      </w:r>
      <w:r w:rsidR="00E04646" w:rsidRPr="00731B12">
        <w:rPr>
          <w:b/>
        </w:rPr>
        <w:t xml:space="preserve">del personale pubblico </w:t>
      </w:r>
      <w:r w:rsidR="00473D94" w:rsidRPr="00731B12">
        <w:rPr>
          <w:b/>
        </w:rPr>
        <w:t>per regione e zona geografica</w:t>
      </w:r>
      <w:r w:rsidR="00E04646" w:rsidRPr="00731B12">
        <w:rPr>
          <w:b/>
        </w:rPr>
        <w:t xml:space="preserve"> nell’anno 201</w:t>
      </w:r>
      <w:r w:rsidR="00D00C96">
        <w:rPr>
          <w:b/>
        </w:rPr>
        <w:t>5</w:t>
      </w:r>
      <w:r w:rsidR="00473D94" w:rsidRPr="00731B12">
        <w:rPr>
          <w:b/>
        </w:rPr>
        <w:t xml:space="preserve"> </w:t>
      </w:r>
      <w:r w:rsidR="007125C5" w:rsidRPr="00731B12">
        <w:rPr>
          <w:b/>
        </w:rPr>
        <w:t>(riferita al personale a tempo indeterminato)</w:t>
      </w:r>
    </w:p>
    <w:p w:rsidR="001B0F43" w:rsidRPr="00FF4132" w:rsidRDefault="00473D94" w:rsidP="00C9737A">
      <w:pPr>
        <w:tabs>
          <w:tab w:val="left" w:leader="dot" w:pos="1188"/>
          <w:tab w:val="left" w:pos="1985"/>
          <w:tab w:val="left" w:pos="3632"/>
          <w:tab w:val="left" w:pos="4608"/>
        </w:tabs>
        <w:spacing w:line="276" w:lineRule="auto"/>
      </w:pPr>
      <w:r w:rsidRPr="00FF4132">
        <w:t>Nord</w:t>
      </w:r>
      <w:r w:rsidR="00000FA5" w:rsidRPr="00FF4132">
        <w:rPr>
          <w:sz w:val="16"/>
          <w:szCs w:val="16"/>
        </w:rPr>
        <w:tab/>
      </w:r>
      <w:r w:rsidR="000C482B" w:rsidRPr="00FF4132">
        <w:t>41,</w:t>
      </w:r>
      <w:r w:rsidR="002A3A5C">
        <w:t>3</w:t>
      </w:r>
      <w:r w:rsidR="000C482B" w:rsidRPr="00FF4132">
        <w:t>%</w:t>
      </w:r>
    </w:p>
    <w:p w:rsidR="00473D94" w:rsidRPr="00FF4132" w:rsidRDefault="00473D94" w:rsidP="00C9737A">
      <w:pPr>
        <w:tabs>
          <w:tab w:val="left" w:leader="dot" w:pos="1188"/>
          <w:tab w:val="left" w:pos="3632"/>
          <w:tab w:val="left" w:pos="4608"/>
        </w:tabs>
        <w:spacing w:line="276" w:lineRule="auto"/>
      </w:pPr>
      <w:r w:rsidRPr="00FF4132">
        <w:t>Centro</w:t>
      </w:r>
      <w:r w:rsidR="00E94010" w:rsidRPr="00FF4132">
        <w:rPr>
          <w:sz w:val="16"/>
          <w:szCs w:val="16"/>
        </w:rPr>
        <w:tab/>
      </w:r>
      <w:r w:rsidR="000C482B" w:rsidRPr="00FF4132">
        <w:t>22,</w:t>
      </w:r>
      <w:r w:rsidR="002A3A5C">
        <w:t>6</w:t>
      </w:r>
      <w:r w:rsidR="000C482B" w:rsidRPr="00FF4132">
        <w:t>%</w:t>
      </w:r>
    </w:p>
    <w:p w:rsidR="00473D94" w:rsidRPr="00FF4132" w:rsidRDefault="00473D94" w:rsidP="00C9737A">
      <w:pPr>
        <w:tabs>
          <w:tab w:val="left" w:leader="dot" w:pos="1188"/>
          <w:tab w:val="left" w:pos="3632"/>
          <w:tab w:val="left" w:pos="4608"/>
        </w:tabs>
        <w:spacing w:line="276" w:lineRule="auto"/>
      </w:pPr>
      <w:r w:rsidRPr="00FF4132">
        <w:t>Sud e Isole</w:t>
      </w:r>
      <w:r w:rsidR="00E94010" w:rsidRPr="00FF4132">
        <w:rPr>
          <w:sz w:val="16"/>
          <w:szCs w:val="16"/>
        </w:rPr>
        <w:tab/>
      </w:r>
      <w:r w:rsidR="000C482B" w:rsidRPr="00FF4132">
        <w:t>35,</w:t>
      </w:r>
      <w:r w:rsidR="002A3A5C">
        <w:t>8</w:t>
      </w:r>
      <w:r w:rsidR="000C482B" w:rsidRPr="00FF4132">
        <w:t>%</w:t>
      </w:r>
    </w:p>
    <w:p w:rsidR="00473D94" w:rsidRPr="00FF4132" w:rsidRDefault="00473D94" w:rsidP="00C9737A">
      <w:pPr>
        <w:tabs>
          <w:tab w:val="left" w:leader="dot" w:pos="1188"/>
          <w:tab w:val="left" w:pos="3632"/>
          <w:tab w:val="left" w:pos="4608"/>
        </w:tabs>
        <w:spacing w:line="276" w:lineRule="auto"/>
      </w:pPr>
      <w:r w:rsidRPr="00FF4132">
        <w:t>Estero</w:t>
      </w:r>
      <w:r w:rsidR="00E94010" w:rsidRPr="00FF4132">
        <w:rPr>
          <w:sz w:val="16"/>
          <w:szCs w:val="16"/>
        </w:rPr>
        <w:tab/>
      </w:r>
      <w:r w:rsidR="000C482B" w:rsidRPr="00FF4132">
        <w:rPr>
          <w:sz w:val="16"/>
          <w:szCs w:val="16"/>
        </w:rPr>
        <w:t>.</w:t>
      </w:r>
      <w:r w:rsidR="00FF4132" w:rsidRPr="00FF4132">
        <w:t xml:space="preserve"> </w:t>
      </w:r>
      <w:r w:rsidR="000C482B" w:rsidRPr="00FF4132">
        <w:t xml:space="preserve">0,2% </w:t>
      </w:r>
    </w:p>
    <w:p w:rsidR="00731B12" w:rsidRDefault="00731B12" w:rsidP="00C9737A">
      <w:pPr>
        <w:tabs>
          <w:tab w:val="left" w:pos="1188"/>
          <w:tab w:val="left" w:pos="3632"/>
          <w:tab w:val="left" w:pos="4608"/>
        </w:tabs>
        <w:spacing w:line="276" w:lineRule="auto"/>
        <w:sectPr w:rsidR="00731B12">
          <w:headerReference w:type="default" r:id="rId8"/>
          <w:footerReference w:type="even" r:id="rId9"/>
          <w:footerReference w:type="default" r:id="rId10"/>
          <w:pgSz w:w="11906" w:h="16838"/>
          <w:pgMar w:top="2608" w:right="1134" w:bottom="1701" w:left="1247" w:header="720" w:footer="720" w:gutter="0"/>
          <w:cols w:space="708"/>
          <w:docGrid w:linePitch="360"/>
        </w:sectPr>
      </w:pPr>
    </w:p>
    <w:p w:rsidR="00473D94" w:rsidRDefault="00473D94" w:rsidP="00C9737A">
      <w:pPr>
        <w:tabs>
          <w:tab w:val="left" w:pos="1188"/>
          <w:tab w:val="left" w:pos="3632"/>
          <w:tab w:val="left" w:pos="4608"/>
        </w:tabs>
        <w:spacing w:line="276" w:lineRule="auto"/>
      </w:pPr>
    </w:p>
    <w:tbl>
      <w:tblPr>
        <w:tblpPr w:leftFromText="141" w:rightFromText="141" w:vertAnchor="text" w:horzAnchor="margin" w:tblpY="25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59"/>
        <w:gridCol w:w="3118"/>
      </w:tblGrid>
      <w:tr w:rsidR="00731B12" w:rsidRPr="00FF4132" w:rsidTr="00731B12">
        <w:tc>
          <w:tcPr>
            <w:tcW w:w="959" w:type="dxa"/>
            <w:shd w:val="clear" w:color="auto" w:fill="auto"/>
          </w:tcPr>
          <w:p w:rsidR="002A0978" w:rsidRPr="00FF4132" w:rsidRDefault="002A3A5C" w:rsidP="00C9737A">
            <w:pPr>
              <w:spacing w:line="276" w:lineRule="auto"/>
              <w:jc w:val="right"/>
            </w:pPr>
            <w:r>
              <w:t>12,75</w:t>
            </w:r>
            <w:r w:rsidR="002A0978"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both"/>
            </w:pPr>
            <w:r w:rsidRPr="00FF4132">
              <w:t>LOMBARDIA</w:t>
            </w:r>
          </w:p>
        </w:tc>
      </w:tr>
      <w:tr w:rsidR="00731B12" w:rsidRPr="00FF4132" w:rsidTr="00731B12">
        <w:tc>
          <w:tcPr>
            <w:tcW w:w="959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right"/>
            </w:pPr>
            <w:r w:rsidRPr="00FF4132">
              <w:t>12,</w:t>
            </w:r>
            <w:r w:rsidR="002A3A5C">
              <w:t>03</w:t>
            </w:r>
            <w:r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both"/>
            </w:pPr>
            <w:r w:rsidRPr="00FF4132">
              <w:t>LAZIO</w:t>
            </w:r>
          </w:p>
        </w:tc>
      </w:tr>
      <w:tr w:rsidR="00731B12" w:rsidRPr="00FF4132" w:rsidTr="00731B12">
        <w:tc>
          <w:tcPr>
            <w:tcW w:w="959" w:type="dxa"/>
            <w:shd w:val="clear" w:color="auto" w:fill="auto"/>
          </w:tcPr>
          <w:p w:rsidR="002A0978" w:rsidRPr="00FF4132" w:rsidRDefault="002A3A5C" w:rsidP="00C9737A">
            <w:pPr>
              <w:spacing w:line="276" w:lineRule="auto"/>
              <w:jc w:val="right"/>
            </w:pPr>
            <w:r>
              <w:t>8,95</w:t>
            </w:r>
            <w:r w:rsidR="002A0978"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both"/>
            </w:pPr>
            <w:r w:rsidRPr="00FF4132">
              <w:t>CAMPANIA</w:t>
            </w:r>
          </w:p>
        </w:tc>
      </w:tr>
      <w:tr w:rsidR="00731B12" w:rsidRPr="00FF4132" w:rsidTr="00731B12">
        <w:tc>
          <w:tcPr>
            <w:tcW w:w="959" w:type="dxa"/>
            <w:shd w:val="clear" w:color="auto" w:fill="auto"/>
          </w:tcPr>
          <w:p w:rsidR="002A0978" w:rsidRPr="00FF4132" w:rsidRDefault="002A3A5C" w:rsidP="00C9737A">
            <w:pPr>
              <w:spacing w:line="276" w:lineRule="auto"/>
              <w:jc w:val="right"/>
            </w:pPr>
            <w:r>
              <w:t>9,48</w:t>
            </w:r>
            <w:r w:rsidR="002A0978"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both"/>
            </w:pPr>
            <w:r w:rsidRPr="00FF4132">
              <w:t>SICILIA</w:t>
            </w:r>
          </w:p>
        </w:tc>
      </w:tr>
      <w:tr w:rsidR="00731B12" w:rsidRPr="00FF4132" w:rsidTr="00731B12">
        <w:tc>
          <w:tcPr>
            <w:tcW w:w="959" w:type="dxa"/>
            <w:shd w:val="clear" w:color="auto" w:fill="auto"/>
          </w:tcPr>
          <w:p w:rsidR="002A0978" w:rsidRPr="00FF4132" w:rsidRDefault="002A3A5C" w:rsidP="00C9737A">
            <w:pPr>
              <w:spacing w:line="276" w:lineRule="auto"/>
              <w:jc w:val="right"/>
            </w:pPr>
            <w:r>
              <w:t>7,03</w:t>
            </w:r>
            <w:r w:rsidR="002A0978"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both"/>
            </w:pPr>
            <w:r w:rsidRPr="00FF4132">
              <w:t>VENETO</w:t>
            </w:r>
          </w:p>
        </w:tc>
      </w:tr>
      <w:tr w:rsidR="00731B12" w:rsidRPr="00FF4132" w:rsidTr="00731B12">
        <w:tc>
          <w:tcPr>
            <w:tcW w:w="959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right"/>
            </w:pPr>
            <w:r w:rsidRPr="00FF4132">
              <w:t>6,</w:t>
            </w:r>
            <w:r w:rsidR="002A3A5C">
              <w:t>76</w:t>
            </w:r>
            <w:r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both"/>
            </w:pPr>
            <w:r w:rsidRPr="00FF4132">
              <w:t>PIEMONTE</w:t>
            </w:r>
          </w:p>
        </w:tc>
      </w:tr>
      <w:tr w:rsidR="00731B12" w:rsidRPr="00FF4132" w:rsidTr="00731B12">
        <w:tc>
          <w:tcPr>
            <w:tcW w:w="959" w:type="dxa"/>
            <w:shd w:val="clear" w:color="auto" w:fill="auto"/>
          </w:tcPr>
          <w:p w:rsidR="002A0978" w:rsidRPr="00FF4132" w:rsidRDefault="002A3A5C" w:rsidP="00C9737A">
            <w:pPr>
              <w:spacing w:line="276" w:lineRule="auto"/>
              <w:jc w:val="right"/>
            </w:pPr>
            <w:r>
              <w:t>6,60</w:t>
            </w:r>
            <w:r w:rsidR="002A0978"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2A0978" w:rsidRPr="00FF4132" w:rsidRDefault="002A0978" w:rsidP="00C9737A">
            <w:pPr>
              <w:spacing w:line="276" w:lineRule="auto"/>
              <w:jc w:val="both"/>
            </w:pPr>
            <w:r w:rsidRPr="00FF4132">
              <w:t>EMILIA ROMAGNA</w:t>
            </w:r>
          </w:p>
        </w:tc>
      </w:tr>
      <w:tr w:rsidR="00FF4132" w:rsidRPr="00FF4132" w:rsidTr="00731B12">
        <w:tc>
          <w:tcPr>
            <w:tcW w:w="959" w:type="dxa"/>
            <w:shd w:val="clear" w:color="auto" w:fill="auto"/>
          </w:tcPr>
          <w:p w:rsidR="00FF4132" w:rsidRPr="00FF4132" w:rsidRDefault="002A3A5C" w:rsidP="00C9737A">
            <w:pPr>
              <w:spacing w:line="276" w:lineRule="auto"/>
              <w:jc w:val="right"/>
            </w:pPr>
            <w:r>
              <w:t>6,48</w:t>
            </w:r>
            <w:r w:rsidR="00FF4132"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FF4132" w:rsidRPr="00FF4132" w:rsidRDefault="00FF4132" w:rsidP="00C9737A">
            <w:pPr>
              <w:spacing w:line="276" w:lineRule="auto"/>
              <w:jc w:val="both"/>
            </w:pPr>
            <w:r w:rsidRPr="00FF4132">
              <w:t>TOSCANA</w:t>
            </w:r>
          </w:p>
        </w:tc>
      </w:tr>
      <w:tr w:rsidR="00FF4132" w:rsidRPr="00FF4132" w:rsidTr="00731B12">
        <w:tc>
          <w:tcPr>
            <w:tcW w:w="959" w:type="dxa"/>
            <w:shd w:val="clear" w:color="auto" w:fill="auto"/>
          </w:tcPr>
          <w:p w:rsidR="00FF4132" w:rsidRPr="00FF4132" w:rsidRDefault="002A3A5C" w:rsidP="00C9737A">
            <w:pPr>
              <w:spacing w:line="276" w:lineRule="auto"/>
              <w:jc w:val="right"/>
            </w:pPr>
            <w:r>
              <w:t>6,48</w:t>
            </w:r>
            <w:r w:rsidR="00FF4132"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FF4132" w:rsidRPr="00FF4132" w:rsidRDefault="00FF4132" w:rsidP="00C9737A">
            <w:pPr>
              <w:spacing w:line="276" w:lineRule="auto"/>
              <w:jc w:val="both"/>
            </w:pPr>
            <w:r w:rsidRPr="00FF4132">
              <w:t>PUGLIA</w:t>
            </w:r>
          </w:p>
        </w:tc>
      </w:tr>
      <w:tr w:rsidR="00731B12" w:rsidRPr="00FF4132" w:rsidTr="00731B12">
        <w:tc>
          <w:tcPr>
            <w:tcW w:w="959" w:type="dxa"/>
            <w:shd w:val="clear" w:color="auto" w:fill="auto"/>
          </w:tcPr>
          <w:p w:rsidR="00FF4132" w:rsidRPr="00FF4132" w:rsidRDefault="002A3A5C" w:rsidP="00C9737A">
            <w:pPr>
              <w:spacing w:line="276" w:lineRule="auto"/>
              <w:jc w:val="right"/>
            </w:pPr>
            <w:r>
              <w:t>3,62</w:t>
            </w:r>
            <w:r w:rsidR="00FF4132" w:rsidRPr="00FF4132">
              <w:t>%</w:t>
            </w:r>
          </w:p>
        </w:tc>
        <w:tc>
          <w:tcPr>
            <w:tcW w:w="3118" w:type="dxa"/>
            <w:shd w:val="clear" w:color="auto" w:fill="auto"/>
          </w:tcPr>
          <w:p w:rsidR="00FF4132" w:rsidRPr="00FF4132" w:rsidRDefault="00FF4132" w:rsidP="00C9737A">
            <w:pPr>
              <w:spacing w:line="276" w:lineRule="auto"/>
              <w:jc w:val="both"/>
            </w:pPr>
            <w:r w:rsidRPr="00FF4132">
              <w:t>CALABRIA</w:t>
            </w:r>
          </w:p>
        </w:tc>
      </w:tr>
    </w:tbl>
    <w:p w:rsidR="00731B12" w:rsidRDefault="00731B12" w:rsidP="00C9737A">
      <w:pPr>
        <w:spacing w:line="276" w:lineRule="auto"/>
        <w:jc w:val="right"/>
        <w:sectPr w:rsidR="00731B12" w:rsidSect="00731B12">
          <w:type w:val="continuous"/>
          <w:pgSz w:w="11906" w:h="16838"/>
          <w:pgMar w:top="2608" w:right="1134" w:bottom="1701" w:left="1247" w:header="720" w:footer="720" w:gutter="0"/>
          <w:cols w:space="708"/>
          <w:docGrid w:linePitch="360"/>
        </w:sectPr>
      </w:pPr>
    </w:p>
    <w:p w:rsidR="00756DC2" w:rsidRPr="00CF20F5" w:rsidRDefault="00756DC2" w:rsidP="00C9737A">
      <w:pPr>
        <w:tabs>
          <w:tab w:val="left" w:pos="1188"/>
          <w:tab w:val="left" w:pos="3632"/>
          <w:tab w:val="left" w:pos="4608"/>
        </w:tabs>
        <w:spacing w:line="276" w:lineRule="auto"/>
      </w:pPr>
    </w:p>
    <w:tbl>
      <w:tblPr>
        <w:tblpPr w:leftFromText="141" w:rightFromText="141" w:vertAnchor="text" w:horzAnchor="page" w:tblpX="5539" w:tblpY="-41"/>
        <w:tblW w:w="39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76"/>
        <w:gridCol w:w="3060"/>
      </w:tblGrid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2A3A5C" w:rsidP="00C9737A">
            <w:pPr>
              <w:spacing w:line="276" w:lineRule="auto"/>
              <w:jc w:val="right"/>
            </w:pPr>
            <w:r>
              <w:t>3,47</w:t>
            </w:r>
            <w:r w:rsidR="00731B12"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jc w:val="both"/>
            </w:pPr>
            <w:r w:rsidRPr="00FF4132">
              <w:t>SARDEGNA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2A3A5C" w:rsidP="00C9737A">
            <w:pPr>
              <w:spacing w:line="276" w:lineRule="auto"/>
              <w:jc w:val="right"/>
            </w:pPr>
            <w:r>
              <w:t>3,01</w:t>
            </w:r>
            <w:r w:rsidR="00731B12"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jc w:val="both"/>
            </w:pPr>
            <w:r w:rsidRPr="00FF4132">
              <w:t>LIGURIA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2A3A5C" w:rsidP="00C9737A">
            <w:pPr>
              <w:spacing w:line="276" w:lineRule="auto"/>
              <w:jc w:val="right"/>
            </w:pPr>
            <w:r>
              <w:t>2,25</w:t>
            </w:r>
            <w:r w:rsidR="00731B12"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FRIULI VENEZIA GIULIA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jc w:val="right"/>
            </w:pPr>
            <w:r w:rsidRPr="00FF4132">
              <w:t>2,54%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MARCHE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2A3A5C" w:rsidP="00C9737A">
            <w:pPr>
              <w:spacing w:line="276" w:lineRule="auto"/>
              <w:jc w:val="right"/>
            </w:pPr>
            <w:r>
              <w:t>2,49</w:t>
            </w:r>
            <w:r w:rsidR="00731B12"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TRENTINO ALTO ADIGE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731B12" w:rsidP="002A3A5C">
            <w:pPr>
              <w:spacing w:line="276" w:lineRule="auto"/>
              <w:jc w:val="right"/>
            </w:pPr>
            <w:r w:rsidRPr="00FF4132">
              <w:t>2,2</w:t>
            </w:r>
            <w:r w:rsidR="002A3A5C">
              <w:t>4</w:t>
            </w:r>
            <w:r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ABRUZZO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2A3A5C" w:rsidP="00C9737A">
            <w:pPr>
              <w:spacing w:line="276" w:lineRule="auto"/>
              <w:jc w:val="right"/>
            </w:pPr>
            <w:r>
              <w:t>1,57</w:t>
            </w:r>
            <w:r w:rsidR="00731B12"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UMBRIA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2A3A5C" w:rsidP="00C9737A">
            <w:pPr>
              <w:spacing w:line="276" w:lineRule="auto"/>
              <w:jc w:val="right"/>
            </w:pPr>
            <w:r>
              <w:t>1,08</w:t>
            </w:r>
            <w:r w:rsidR="00731B12"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BASILICATA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2A3A5C" w:rsidP="00C9737A">
            <w:pPr>
              <w:spacing w:line="276" w:lineRule="auto"/>
              <w:jc w:val="right"/>
            </w:pPr>
            <w:r>
              <w:t>0,59</w:t>
            </w:r>
            <w:r w:rsidR="00731B12"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MOLISE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2A3A5C" w:rsidP="00C9737A">
            <w:pPr>
              <w:spacing w:line="276" w:lineRule="auto"/>
              <w:jc w:val="right"/>
            </w:pPr>
            <w:r>
              <w:t>0,37</w:t>
            </w:r>
            <w:r w:rsidR="00731B12" w:rsidRPr="00FF4132">
              <w:t>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VALLE D'AOSTA</w:t>
            </w:r>
          </w:p>
        </w:tc>
      </w:tr>
      <w:tr w:rsidR="00731B12" w:rsidRPr="00FF4132" w:rsidTr="00731B12">
        <w:tc>
          <w:tcPr>
            <w:tcW w:w="876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jc w:val="right"/>
            </w:pPr>
            <w:r w:rsidRPr="00FF4132">
              <w:t>0,24%</w:t>
            </w:r>
          </w:p>
        </w:tc>
        <w:tc>
          <w:tcPr>
            <w:tcW w:w="3060" w:type="dxa"/>
            <w:shd w:val="clear" w:color="auto" w:fill="auto"/>
          </w:tcPr>
          <w:p w:rsidR="00731B12" w:rsidRPr="00FF4132" w:rsidRDefault="00731B12" w:rsidP="00C9737A">
            <w:pPr>
              <w:spacing w:line="276" w:lineRule="auto"/>
              <w:ind w:right="-120"/>
            </w:pPr>
            <w:r w:rsidRPr="00FF4132">
              <w:t>ESTERO</w:t>
            </w:r>
          </w:p>
        </w:tc>
      </w:tr>
    </w:tbl>
    <w:p w:rsidR="00731B12" w:rsidRDefault="00731B12" w:rsidP="00C9737A">
      <w:pPr>
        <w:spacing w:line="276" w:lineRule="auto"/>
        <w:jc w:val="both"/>
        <w:rPr>
          <w:highlight w:val="yellow"/>
        </w:rPr>
        <w:sectPr w:rsidR="00731B12" w:rsidSect="00731B12">
          <w:type w:val="continuous"/>
          <w:pgSz w:w="11906" w:h="16838"/>
          <w:pgMar w:top="2608" w:right="1134" w:bottom="1701" w:left="1247" w:header="720" w:footer="720" w:gutter="0"/>
          <w:cols w:num="2" w:space="708" w:equalWidth="0">
            <w:col w:w="6114" w:space="708"/>
            <w:col w:w="2703"/>
          </w:cols>
          <w:docGrid w:linePitch="360"/>
        </w:sectPr>
      </w:pPr>
    </w:p>
    <w:p w:rsidR="00731B12" w:rsidRDefault="00282D50" w:rsidP="00C9737A">
      <w:pPr>
        <w:spacing w:line="276" w:lineRule="auto"/>
        <w:jc w:val="both"/>
        <w:rPr>
          <w:highlight w:val="yellow"/>
        </w:rPr>
        <w:sectPr w:rsidR="00731B12" w:rsidSect="00731B12">
          <w:type w:val="continuous"/>
          <w:pgSz w:w="11906" w:h="16838"/>
          <w:pgMar w:top="2608" w:right="1134" w:bottom="1701" w:left="1247" w:header="720" w:footer="720" w:gutter="0"/>
          <w:cols w:num="2" w:space="708" w:equalWidth="0">
            <w:col w:w="6114" w:space="708"/>
            <w:col w:w="2703"/>
          </w:cols>
          <w:docGrid w:linePitch="360"/>
        </w:sectPr>
      </w:pPr>
      <w:r>
        <w:rPr>
          <w:highlight w:val="yellow"/>
        </w:rPr>
        <w:br w:type="page"/>
      </w:r>
    </w:p>
    <w:p w:rsidR="00276B57" w:rsidRPr="00F42386" w:rsidRDefault="0027377C" w:rsidP="00C9737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42386">
        <w:rPr>
          <w:b/>
          <w:sz w:val="28"/>
          <w:szCs w:val="28"/>
          <w:u w:val="single"/>
        </w:rPr>
        <w:lastRenderedPageBreak/>
        <w:t>C</w:t>
      </w:r>
      <w:r w:rsidR="00276B57" w:rsidRPr="00F42386">
        <w:rPr>
          <w:b/>
          <w:sz w:val="28"/>
          <w:szCs w:val="28"/>
          <w:u w:val="single"/>
        </w:rPr>
        <w:t xml:space="preserve">osto </w:t>
      </w:r>
      <w:r w:rsidR="00F34D2A" w:rsidRPr="00F42386">
        <w:rPr>
          <w:b/>
          <w:sz w:val="28"/>
          <w:szCs w:val="28"/>
          <w:u w:val="single"/>
        </w:rPr>
        <w:t xml:space="preserve">complessivo </w:t>
      </w:r>
      <w:r w:rsidR="00276B57" w:rsidRPr="00F42386">
        <w:rPr>
          <w:b/>
          <w:sz w:val="28"/>
          <w:szCs w:val="28"/>
          <w:u w:val="single"/>
        </w:rPr>
        <w:t>del lavoro</w:t>
      </w:r>
      <w:r w:rsidR="00F34D2A" w:rsidRPr="00F42386">
        <w:rPr>
          <w:b/>
          <w:sz w:val="28"/>
          <w:szCs w:val="28"/>
          <w:u w:val="single"/>
        </w:rPr>
        <w:t xml:space="preserve"> (Oneri per il personale dipendente ed estraneo all’amministrazione)</w:t>
      </w:r>
    </w:p>
    <w:p w:rsidR="00276B57" w:rsidRPr="00F42386" w:rsidRDefault="00276B57" w:rsidP="00C9737A">
      <w:pPr>
        <w:spacing w:line="276" w:lineRule="auto"/>
        <w:jc w:val="both"/>
      </w:pPr>
    </w:p>
    <w:p w:rsidR="0027377C" w:rsidRPr="00F42386" w:rsidRDefault="00276B57" w:rsidP="00C9737A">
      <w:pPr>
        <w:spacing w:line="276" w:lineRule="auto"/>
        <w:jc w:val="both"/>
      </w:pPr>
      <w:r w:rsidRPr="00F42386">
        <w:rPr>
          <w:b/>
        </w:rPr>
        <w:t>Costo del lavoro</w:t>
      </w:r>
      <w:r w:rsidR="001123A3" w:rsidRPr="00F42386">
        <w:rPr>
          <w:b/>
        </w:rPr>
        <w:t xml:space="preserve"> e variazione percentuale</w:t>
      </w:r>
      <w:r w:rsidR="00F720A1" w:rsidRPr="00F42386">
        <w:rPr>
          <w:b/>
        </w:rPr>
        <w:t xml:space="preserve"> annua</w:t>
      </w:r>
      <w:r w:rsidR="002345B8" w:rsidRPr="00F42386">
        <w:rPr>
          <w:b/>
        </w:rPr>
        <w:t>:</w:t>
      </w:r>
    </w:p>
    <w:p w:rsidR="00E91A49" w:rsidRPr="00642F6A" w:rsidRDefault="00E91A49" w:rsidP="00C9737A">
      <w:pPr>
        <w:numPr>
          <w:ilvl w:val="0"/>
          <w:numId w:val="11"/>
        </w:numPr>
        <w:spacing w:line="276" w:lineRule="auto"/>
        <w:jc w:val="both"/>
      </w:pPr>
      <w:r w:rsidRPr="00F42386">
        <w:t xml:space="preserve">157,81 miliardi  di  euro nel 2007                di cui per </w:t>
      </w:r>
      <w:r w:rsidRPr="00F42386">
        <w:tab/>
        <w:t xml:space="preserve">arretrati </w:t>
      </w:r>
      <w:r w:rsidR="00642F6A">
        <w:tab/>
      </w:r>
      <w:r w:rsidRPr="00642F6A">
        <w:t>2,05 miliardi di euro</w:t>
      </w:r>
    </w:p>
    <w:p w:rsidR="00E91A49" w:rsidRPr="00642F6A" w:rsidRDefault="00E91A49" w:rsidP="00C9737A">
      <w:pPr>
        <w:numPr>
          <w:ilvl w:val="0"/>
          <w:numId w:val="11"/>
        </w:numPr>
        <w:spacing w:line="276" w:lineRule="auto"/>
        <w:jc w:val="both"/>
      </w:pPr>
      <w:r w:rsidRPr="00642F6A">
        <w:t>167,8</w:t>
      </w:r>
      <w:r w:rsidR="00505086" w:rsidRPr="00642F6A">
        <w:t>4</w:t>
      </w:r>
      <w:r w:rsidRPr="00642F6A">
        <w:tab/>
        <w:t>“</w:t>
      </w:r>
      <w:r w:rsidRPr="00642F6A">
        <w:tab/>
      </w:r>
      <w:r w:rsidRPr="00642F6A">
        <w:tab/>
        <w:t xml:space="preserve">nel 2008 (+6,4%) </w:t>
      </w:r>
      <w:r w:rsidRPr="00642F6A">
        <w:tab/>
      </w:r>
      <w:r w:rsidRPr="00642F6A">
        <w:tab/>
        <w:t>“</w:t>
      </w:r>
      <w:r w:rsidRPr="00642F6A">
        <w:tab/>
      </w:r>
      <w:r w:rsidRPr="00642F6A">
        <w:tab/>
        <w:t xml:space="preserve">5,95 </w:t>
      </w:r>
      <w:r w:rsidR="00831E8F">
        <w:tab/>
      </w:r>
      <w:r w:rsidRPr="00642F6A">
        <w:t xml:space="preserve"> “</w:t>
      </w:r>
    </w:p>
    <w:p w:rsidR="00E91A49" w:rsidRPr="00F709DA" w:rsidRDefault="00A92FDC" w:rsidP="00C9737A">
      <w:pPr>
        <w:numPr>
          <w:ilvl w:val="0"/>
          <w:numId w:val="11"/>
        </w:numPr>
        <w:spacing w:line="276" w:lineRule="auto"/>
        <w:jc w:val="both"/>
      </w:pPr>
      <w:r>
        <w:t>169,09</w:t>
      </w:r>
      <w:r w:rsidR="00E91A49" w:rsidRPr="00F709DA">
        <w:tab/>
        <w:t>“</w:t>
      </w:r>
      <w:r w:rsidR="00E91A49" w:rsidRPr="00F709DA">
        <w:tab/>
      </w:r>
      <w:r w:rsidR="00E91A49" w:rsidRPr="00F709DA">
        <w:tab/>
        <w:t xml:space="preserve">nel 2009 (+0,7%) </w:t>
      </w:r>
      <w:r w:rsidR="00E91A49" w:rsidRPr="00F709DA">
        <w:tab/>
      </w:r>
      <w:r w:rsidR="00E91A49" w:rsidRPr="00F709DA">
        <w:tab/>
        <w:t>“</w:t>
      </w:r>
      <w:r w:rsidR="00E91A49" w:rsidRPr="00F709DA">
        <w:tab/>
      </w:r>
      <w:r w:rsidR="00E91A49" w:rsidRPr="00F709DA">
        <w:tab/>
        <w:t xml:space="preserve">2,67 </w:t>
      </w:r>
      <w:r w:rsidR="00831E8F">
        <w:tab/>
      </w:r>
      <w:r w:rsidR="00E91A49" w:rsidRPr="00F709DA">
        <w:t xml:space="preserve"> “</w:t>
      </w:r>
    </w:p>
    <w:p w:rsidR="00E91A49" w:rsidRPr="00F709DA" w:rsidRDefault="00E91A49" w:rsidP="00C9737A">
      <w:pPr>
        <w:numPr>
          <w:ilvl w:val="0"/>
          <w:numId w:val="11"/>
        </w:numPr>
        <w:spacing w:line="276" w:lineRule="auto"/>
        <w:jc w:val="both"/>
      </w:pPr>
      <w:r w:rsidRPr="00F709DA">
        <w:t>166,7</w:t>
      </w:r>
      <w:r w:rsidR="003D387E" w:rsidRPr="00F709DA">
        <w:t>3</w:t>
      </w:r>
      <w:r w:rsidRPr="00F709DA">
        <w:tab/>
        <w:t>“</w:t>
      </w:r>
      <w:r w:rsidRPr="00F709DA">
        <w:tab/>
      </w:r>
      <w:r w:rsidRPr="00F709DA">
        <w:tab/>
        <w:t xml:space="preserve">nel 2010 (-1,4%) </w:t>
      </w:r>
      <w:r w:rsidRPr="00F709DA">
        <w:tab/>
      </w:r>
      <w:r w:rsidRPr="00F709DA">
        <w:tab/>
        <w:t>“</w:t>
      </w:r>
      <w:r w:rsidRPr="00F709DA">
        <w:tab/>
      </w:r>
      <w:r w:rsidRPr="00F709DA">
        <w:tab/>
      </w:r>
      <w:r w:rsidR="00642F6A" w:rsidRPr="00F709DA">
        <w:t>2,94</w:t>
      </w:r>
      <w:r w:rsidRPr="00F709DA">
        <w:t xml:space="preserve"> </w:t>
      </w:r>
      <w:r w:rsidR="00831E8F">
        <w:tab/>
      </w:r>
      <w:r w:rsidRPr="00F709DA">
        <w:t xml:space="preserve"> “</w:t>
      </w:r>
    </w:p>
    <w:p w:rsidR="00E91A49" w:rsidRPr="00F709DA" w:rsidRDefault="005C57D8" w:rsidP="00C9737A">
      <w:pPr>
        <w:numPr>
          <w:ilvl w:val="0"/>
          <w:numId w:val="11"/>
        </w:numPr>
        <w:spacing w:line="276" w:lineRule="auto"/>
        <w:jc w:val="both"/>
      </w:pPr>
      <w:r w:rsidRPr="00F709DA">
        <w:t>165,18</w:t>
      </w:r>
      <w:r w:rsidR="00E91A49" w:rsidRPr="00F709DA">
        <w:tab/>
        <w:t>“</w:t>
      </w:r>
      <w:r w:rsidR="00E91A49" w:rsidRPr="00F709DA">
        <w:tab/>
      </w:r>
      <w:r w:rsidR="00E91A49" w:rsidRPr="00F709DA">
        <w:tab/>
        <w:t>nel 2011 (-</w:t>
      </w:r>
      <w:r w:rsidR="00505086" w:rsidRPr="00F709DA">
        <w:t>0,9</w:t>
      </w:r>
      <w:r w:rsidR="00E91A49" w:rsidRPr="00F709DA">
        <w:t xml:space="preserve">%) </w:t>
      </w:r>
      <w:r w:rsidR="00E91A49" w:rsidRPr="00F709DA">
        <w:tab/>
      </w:r>
      <w:r w:rsidR="00A92FDC" w:rsidRPr="00F709DA">
        <w:t>[1</w:t>
      </w:r>
      <w:r w:rsidR="00A92FDC">
        <w:t>63</w:t>
      </w:r>
      <w:r w:rsidR="00A92FDC" w:rsidRPr="00F709DA">
        <w:t>,</w:t>
      </w:r>
      <w:r w:rsidR="00A92FDC">
        <w:t>97</w:t>
      </w:r>
      <w:r w:rsidR="00A92FDC" w:rsidRPr="00F709DA">
        <w:t xml:space="preserve">  (-1</w:t>
      </w:r>
      <w:r w:rsidR="00AF7F3D">
        <w:t>,7</w:t>
      </w:r>
      <w:r w:rsidR="00A92FDC" w:rsidRPr="00F709DA">
        <w:t>%)]</w:t>
      </w:r>
      <w:r w:rsidR="00E91A49" w:rsidRPr="00F709DA">
        <w:tab/>
        <w:t>2,8</w:t>
      </w:r>
      <w:r w:rsidR="003D387E" w:rsidRPr="00F709DA">
        <w:t>5</w:t>
      </w:r>
      <w:r w:rsidR="00E91A49" w:rsidRPr="00F709DA">
        <w:t xml:space="preserve"> </w:t>
      </w:r>
      <w:r w:rsidR="00831E8F">
        <w:tab/>
      </w:r>
      <w:r w:rsidR="00E91A49" w:rsidRPr="00F709DA">
        <w:t xml:space="preserve"> “</w:t>
      </w:r>
    </w:p>
    <w:p w:rsidR="003D387E" w:rsidRPr="00F709DA" w:rsidRDefault="005C57D8" w:rsidP="00C9737A">
      <w:pPr>
        <w:numPr>
          <w:ilvl w:val="0"/>
          <w:numId w:val="11"/>
        </w:numPr>
        <w:spacing w:line="276" w:lineRule="auto"/>
        <w:jc w:val="both"/>
      </w:pPr>
      <w:r w:rsidRPr="00F709DA">
        <w:t>160,32</w:t>
      </w:r>
      <w:r w:rsidR="003D387E" w:rsidRPr="00F709DA">
        <w:tab/>
        <w:t>“</w:t>
      </w:r>
      <w:r w:rsidR="003D387E" w:rsidRPr="00F709DA">
        <w:tab/>
      </w:r>
      <w:r w:rsidR="003D387E" w:rsidRPr="00F709DA">
        <w:tab/>
        <w:t xml:space="preserve">nel 2012 </w:t>
      </w:r>
      <w:r w:rsidR="00B64757" w:rsidRPr="00F709DA">
        <w:t>(</w:t>
      </w:r>
      <w:r w:rsidR="002C554B" w:rsidRPr="00F709DA">
        <w:t>-</w:t>
      </w:r>
      <w:r w:rsidR="00B64757" w:rsidRPr="00F709DA">
        <w:t>2,9%)</w:t>
      </w:r>
      <w:r w:rsidR="003D387E" w:rsidRPr="00F709DA">
        <w:tab/>
      </w:r>
      <w:r w:rsidR="00A92FDC" w:rsidRPr="00F709DA">
        <w:t>[15</w:t>
      </w:r>
      <w:r w:rsidR="00AF7F3D">
        <w:t>8</w:t>
      </w:r>
      <w:r w:rsidR="00A92FDC" w:rsidRPr="00F709DA">
        <w:t>,</w:t>
      </w:r>
      <w:r w:rsidR="00AF7F3D">
        <w:t>92</w:t>
      </w:r>
      <w:r w:rsidR="00A92FDC" w:rsidRPr="00F709DA">
        <w:t xml:space="preserve">  (-</w:t>
      </w:r>
      <w:r w:rsidR="00AF7F3D">
        <w:t>3,</w:t>
      </w:r>
      <w:r w:rsidR="00A92FDC" w:rsidRPr="00F709DA">
        <w:t>1%)]</w:t>
      </w:r>
      <w:r w:rsidR="00642F6A" w:rsidRPr="00F709DA">
        <w:tab/>
        <w:t>1,43</w:t>
      </w:r>
      <w:r w:rsidR="003D387E" w:rsidRPr="00F709DA">
        <w:t xml:space="preserve"> </w:t>
      </w:r>
      <w:r w:rsidR="00831E8F">
        <w:tab/>
      </w:r>
      <w:r w:rsidR="003D387E" w:rsidRPr="00F709DA">
        <w:t xml:space="preserve"> “</w:t>
      </w:r>
    </w:p>
    <w:p w:rsidR="005C57D8" w:rsidRPr="00F709DA" w:rsidRDefault="005C57D8" w:rsidP="00C9737A">
      <w:pPr>
        <w:numPr>
          <w:ilvl w:val="0"/>
          <w:numId w:val="11"/>
        </w:numPr>
        <w:spacing w:line="276" w:lineRule="auto"/>
        <w:jc w:val="both"/>
      </w:pPr>
      <w:r w:rsidRPr="00F709DA">
        <w:t>158,2</w:t>
      </w:r>
      <w:r w:rsidR="00A92FDC">
        <w:t>9</w:t>
      </w:r>
      <w:r w:rsidRPr="00F709DA">
        <w:tab/>
      </w:r>
      <w:r w:rsidR="00F709DA" w:rsidRPr="00F709DA">
        <w:t>“</w:t>
      </w:r>
      <w:r w:rsidRPr="00F709DA">
        <w:tab/>
      </w:r>
      <w:r w:rsidRPr="00F709DA">
        <w:tab/>
        <w:t>nel 2013</w:t>
      </w:r>
      <w:r w:rsidR="00B64757" w:rsidRPr="00F709DA">
        <w:t xml:space="preserve"> (</w:t>
      </w:r>
      <w:r w:rsidR="002C554B" w:rsidRPr="00F709DA">
        <w:t>-</w:t>
      </w:r>
      <w:r w:rsidR="00B64757" w:rsidRPr="00F709DA">
        <w:t>1,3%)</w:t>
      </w:r>
      <w:r w:rsidR="00642F6A" w:rsidRPr="00F709DA">
        <w:tab/>
      </w:r>
      <w:r w:rsidR="00AF7F3D">
        <w:t>[156,93</w:t>
      </w:r>
      <w:r w:rsidR="00A92FDC" w:rsidRPr="00F709DA">
        <w:t xml:space="preserve">  (-1</w:t>
      </w:r>
      <w:r w:rsidR="00AF7F3D">
        <w:t>,3</w:t>
      </w:r>
      <w:r w:rsidR="00A92FDC" w:rsidRPr="00F709DA">
        <w:t>%)]</w:t>
      </w:r>
      <w:r w:rsidR="00642F6A" w:rsidRPr="00F709DA">
        <w:tab/>
        <w:t>1,</w:t>
      </w:r>
      <w:r w:rsidR="00253CCB" w:rsidRPr="00F709DA">
        <w:t>78</w:t>
      </w:r>
      <w:r w:rsidR="00642F6A" w:rsidRPr="00F709DA">
        <w:t xml:space="preserve"> </w:t>
      </w:r>
      <w:r w:rsidR="00831E8F">
        <w:tab/>
      </w:r>
      <w:r w:rsidR="00642F6A" w:rsidRPr="00F709DA">
        <w:t xml:space="preserve"> “</w:t>
      </w:r>
    </w:p>
    <w:p w:rsidR="00735078" w:rsidRDefault="00735078" w:rsidP="00C9737A">
      <w:pPr>
        <w:numPr>
          <w:ilvl w:val="0"/>
          <w:numId w:val="11"/>
        </w:numPr>
        <w:spacing w:line="276" w:lineRule="auto"/>
        <w:jc w:val="both"/>
      </w:pPr>
      <w:r w:rsidRPr="00F709DA">
        <w:t>159,</w:t>
      </w:r>
      <w:r w:rsidR="00A92FDC">
        <w:t>61</w:t>
      </w:r>
      <w:r w:rsidR="00A92FDC">
        <w:tab/>
        <w:t>“</w:t>
      </w:r>
      <w:r w:rsidR="00A92FDC">
        <w:tab/>
      </w:r>
      <w:r w:rsidR="00A92FDC">
        <w:tab/>
        <w:t>nel 2014 (+0,8</w:t>
      </w:r>
      <w:r w:rsidRPr="00F709DA">
        <w:t>%)</w:t>
      </w:r>
      <w:r w:rsidR="00A92FDC">
        <w:tab/>
      </w:r>
      <w:r w:rsidR="00AF7F3D">
        <w:t>[155,68  (-0,8</w:t>
      </w:r>
      <w:r w:rsidR="00F709DA" w:rsidRPr="00F709DA">
        <w:t>%)]</w:t>
      </w:r>
      <w:r w:rsidR="00A92FDC">
        <w:tab/>
      </w:r>
      <w:r w:rsidR="00253CCB" w:rsidRPr="00F709DA">
        <w:t xml:space="preserve">1,08 </w:t>
      </w:r>
      <w:r w:rsidR="00831E8F">
        <w:tab/>
      </w:r>
      <w:r w:rsidR="00F709DA" w:rsidRPr="00F709DA">
        <w:t xml:space="preserve"> </w:t>
      </w:r>
      <w:r w:rsidR="00253CCB" w:rsidRPr="00F709DA">
        <w:t>“</w:t>
      </w:r>
    </w:p>
    <w:p w:rsidR="00635A4E" w:rsidRPr="00F709DA" w:rsidRDefault="00A92FDC" w:rsidP="00C9737A">
      <w:pPr>
        <w:numPr>
          <w:ilvl w:val="0"/>
          <w:numId w:val="11"/>
        </w:numPr>
        <w:spacing w:line="276" w:lineRule="auto"/>
        <w:jc w:val="both"/>
      </w:pPr>
      <w:r>
        <w:t>158,88</w:t>
      </w:r>
      <w:r>
        <w:tab/>
        <w:t>“</w:t>
      </w:r>
      <w:r>
        <w:tab/>
      </w:r>
      <w:r>
        <w:tab/>
        <w:t>nel 2015 (-0,5%)</w:t>
      </w:r>
      <w:r>
        <w:tab/>
      </w:r>
      <w:r w:rsidR="00AF7F3D">
        <w:t>[154,88  (-0,5</w:t>
      </w:r>
      <w:r w:rsidRPr="00F709DA">
        <w:t>%)]</w:t>
      </w:r>
      <w:r>
        <w:tab/>
        <w:t xml:space="preserve">1,04 </w:t>
      </w:r>
      <w:r>
        <w:tab/>
      </w:r>
      <w:r w:rsidR="00AF7F3D">
        <w:t xml:space="preserve"> </w:t>
      </w:r>
      <w:r>
        <w:t>“</w:t>
      </w:r>
    </w:p>
    <w:p w:rsidR="003D387E" w:rsidRPr="00F709DA" w:rsidRDefault="003D387E" w:rsidP="00C9737A">
      <w:pPr>
        <w:spacing w:line="276" w:lineRule="auto"/>
        <w:jc w:val="both"/>
      </w:pPr>
    </w:p>
    <w:p w:rsidR="000D5EA7" w:rsidRPr="00F42386" w:rsidRDefault="000D5EA7" w:rsidP="00C9737A">
      <w:pPr>
        <w:spacing w:line="276" w:lineRule="auto"/>
        <w:jc w:val="both"/>
      </w:pPr>
    </w:p>
    <w:p w:rsidR="0027377C" w:rsidRPr="003D3BD3" w:rsidRDefault="00AF7F3D" w:rsidP="00C9737A">
      <w:pPr>
        <w:spacing w:line="276" w:lineRule="auto"/>
        <w:jc w:val="both"/>
      </w:pPr>
      <w:r>
        <w:t>G</w:t>
      </w:r>
      <w:r w:rsidR="00743551" w:rsidRPr="00642F6A">
        <w:t>li importi corrisposti per arretrati relativi ad anni precedenti</w:t>
      </w:r>
      <w:r w:rsidR="00F4165A" w:rsidRPr="00642F6A">
        <w:t xml:space="preserve"> </w:t>
      </w:r>
      <w:r w:rsidR="003D3BD3">
        <w:t xml:space="preserve">sono </w:t>
      </w:r>
      <w:r w:rsidR="00F4165A" w:rsidRPr="00642F6A">
        <w:t xml:space="preserve">al lordo degli </w:t>
      </w:r>
      <w:r w:rsidR="00F4165A" w:rsidRPr="003D3BD3">
        <w:t>oneri riflessi a carico delle amministrazioni</w:t>
      </w:r>
      <w:r w:rsidR="00402ED1" w:rsidRPr="003D3BD3">
        <w:t>.</w:t>
      </w:r>
    </w:p>
    <w:p w:rsidR="00276B57" w:rsidRPr="00F42386" w:rsidRDefault="00276B57" w:rsidP="00C9737A">
      <w:pPr>
        <w:spacing w:line="276" w:lineRule="auto"/>
        <w:jc w:val="both"/>
      </w:pPr>
    </w:p>
    <w:p w:rsidR="00AF3A50" w:rsidRPr="00642F6A" w:rsidRDefault="00AF3A50" w:rsidP="00C9737A">
      <w:pPr>
        <w:spacing w:line="276" w:lineRule="auto"/>
        <w:jc w:val="both"/>
      </w:pPr>
    </w:p>
    <w:p w:rsidR="00276B57" w:rsidRPr="00F42386" w:rsidRDefault="0027377C" w:rsidP="00C9737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42386">
        <w:rPr>
          <w:b/>
          <w:sz w:val="28"/>
          <w:szCs w:val="28"/>
          <w:u w:val="single"/>
        </w:rPr>
        <w:t>R</w:t>
      </w:r>
      <w:r w:rsidR="00276B57" w:rsidRPr="00F42386">
        <w:rPr>
          <w:b/>
          <w:sz w:val="28"/>
          <w:szCs w:val="28"/>
          <w:u w:val="single"/>
        </w:rPr>
        <w:t>etribuzioni medie pro</w:t>
      </w:r>
      <w:r w:rsidR="002345B8" w:rsidRPr="00F42386">
        <w:rPr>
          <w:b/>
          <w:sz w:val="28"/>
          <w:szCs w:val="28"/>
          <w:u w:val="single"/>
        </w:rPr>
        <w:t xml:space="preserve"> </w:t>
      </w:r>
      <w:r w:rsidR="00276B57" w:rsidRPr="00F42386">
        <w:rPr>
          <w:b/>
          <w:sz w:val="28"/>
          <w:szCs w:val="28"/>
          <w:u w:val="single"/>
        </w:rPr>
        <w:t>capite</w:t>
      </w:r>
    </w:p>
    <w:p w:rsidR="00276B57" w:rsidRPr="00F42386" w:rsidRDefault="00276B57" w:rsidP="00C9737A">
      <w:pPr>
        <w:spacing w:line="276" w:lineRule="auto"/>
        <w:jc w:val="both"/>
      </w:pPr>
    </w:p>
    <w:p w:rsidR="00137C5A" w:rsidRPr="00F42386" w:rsidRDefault="00137C5A" w:rsidP="00C9737A">
      <w:pPr>
        <w:spacing w:line="276" w:lineRule="auto"/>
        <w:jc w:val="both"/>
        <w:rPr>
          <w:b/>
        </w:rPr>
      </w:pPr>
      <w:r w:rsidRPr="00F42386">
        <w:rPr>
          <w:b/>
        </w:rPr>
        <w:t>Importi medi</w:t>
      </w:r>
      <w:r w:rsidR="00276B57" w:rsidRPr="00F42386">
        <w:rPr>
          <w:b/>
        </w:rPr>
        <w:t xml:space="preserve"> </w:t>
      </w:r>
      <w:r w:rsidR="00AF3A50" w:rsidRPr="00F42386">
        <w:rPr>
          <w:b/>
        </w:rPr>
        <w:t xml:space="preserve">annui </w:t>
      </w:r>
      <w:r w:rsidR="00276B57" w:rsidRPr="00F42386">
        <w:rPr>
          <w:b/>
        </w:rPr>
        <w:t xml:space="preserve">pro capite </w:t>
      </w:r>
      <w:r w:rsidR="00642F6A">
        <w:rPr>
          <w:b/>
        </w:rPr>
        <w:t xml:space="preserve">a prezzi correnti </w:t>
      </w:r>
      <w:r w:rsidR="00C93130" w:rsidRPr="00F42386">
        <w:rPr>
          <w:b/>
        </w:rPr>
        <w:t>(al netto degli arretrati)</w:t>
      </w:r>
      <w:r w:rsidR="00F720A1" w:rsidRPr="00F42386">
        <w:t xml:space="preserve"> </w:t>
      </w:r>
      <w:r w:rsidR="00F720A1" w:rsidRPr="00F42386">
        <w:rPr>
          <w:b/>
        </w:rPr>
        <w:t>per l’intero pubblico impiego:</w:t>
      </w:r>
    </w:p>
    <w:p w:rsidR="00F720A1" w:rsidRPr="003D3BD3" w:rsidRDefault="00F720A1" w:rsidP="00C9737A">
      <w:pPr>
        <w:spacing w:line="276" w:lineRule="auto"/>
        <w:jc w:val="both"/>
      </w:pPr>
      <w:r w:rsidRPr="003D3BD3">
        <w:t xml:space="preserve">- </w:t>
      </w:r>
      <w:r w:rsidR="00E62FAD" w:rsidRPr="003D3BD3">
        <w:t>31.6</w:t>
      </w:r>
      <w:r w:rsidR="00011692" w:rsidRPr="003D3BD3">
        <w:t>8</w:t>
      </w:r>
      <w:r w:rsidR="00E62FAD" w:rsidRPr="003D3BD3">
        <w:t>0</w:t>
      </w:r>
      <w:r w:rsidR="009233BB" w:rsidRPr="003D3BD3">
        <w:t xml:space="preserve"> </w:t>
      </w:r>
      <w:r w:rsidR="000E3A26" w:rsidRPr="003D3BD3">
        <w:t>euro</w:t>
      </w:r>
      <w:r w:rsidR="001B0F43" w:rsidRPr="003D3BD3">
        <w:t xml:space="preserve"> nel 200</w:t>
      </w:r>
      <w:r w:rsidR="00E62FAD" w:rsidRPr="003D3BD3">
        <w:t>7</w:t>
      </w:r>
    </w:p>
    <w:p w:rsidR="00E62FAD" w:rsidRPr="003D3BD3" w:rsidRDefault="00E62FAD" w:rsidP="00C9737A">
      <w:pPr>
        <w:spacing w:line="276" w:lineRule="auto"/>
        <w:jc w:val="both"/>
      </w:pPr>
      <w:r w:rsidRPr="003D3BD3">
        <w:t>- 33.43</w:t>
      </w:r>
      <w:r w:rsidR="0036018F" w:rsidRPr="003D3BD3">
        <w:t>9</w:t>
      </w:r>
      <w:r w:rsidRPr="003D3BD3">
        <w:t xml:space="preserve"> euro nel 2008 (+5,6%)</w:t>
      </w:r>
    </w:p>
    <w:p w:rsidR="00E62FAD" w:rsidRPr="003D3BD3" w:rsidRDefault="00E62FAD" w:rsidP="00C9737A">
      <w:pPr>
        <w:spacing w:line="276" w:lineRule="auto"/>
        <w:jc w:val="both"/>
      </w:pPr>
      <w:r w:rsidRPr="003D3BD3">
        <w:t>- 34.52</w:t>
      </w:r>
      <w:r w:rsidR="0036018F" w:rsidRPr="003D3BD3">
        <w:t>2</w:t>
      </w:r>
      <w:r w:rsidR="00A92FDC">
        <w:t xml:space="preserve"> euro nel 2009 (+3,2</w:t>
      </w:r>
      <w:r w:rsidRPr="003D3BD3">
        <w:t>%)</w:t>
      </w:r>
    </w:p>
    <w:p w:rsidR="00276B57" w:rsidRPr="003D3BD3" w:rsidRDefault="00F720A1" w:rsidP="00C9737A">
      <w:pPr>
        <w:spacing w:line="276" w:lineRule="auto"/>
        <w:jc w:val="both"/>
      </w:pPr>
      <w:r w:rsidRPr="003D3BD3">
        <w:t xml:space="preserve">- </w:t>
      </w:r>
      <w:r w:rsidR="005C57D8" w:rsidRPr="003D3BD3">
        <w:t>34.68</w:t>
      </w:r>
      <w:r w:rsidR="0036018F" w:rsidRPr="003D3BD3">
        <w:t>6</w:t>
      </w:r>
      <w:r w:rsidR="009233BB" w:rsidRPr="003D3BD3">
        <w:t xml:space="preserve"> </w:t>
      </w:r>
      <w:r w:rsidR="00E62FAD" w:rsidRPr="003D3BD3">
        <w:t>euro nel 2010 (+0,5</w:t>
      </w:r>
      <w:r w:rsidR="008D6C38" w:rsidRPr="003D3BD3">
        <w:t>%)</w:t>
      </w:r>
    </w:p>
    <w:p w:rsidR="00321593" w:rsidRPr="003D3BD3" w:rsidRDefault="00321593" w:rsidP="00C9737A">
      <w:pPr>
        <w:spacing w:line="276" w:lineRule="auto"/>
        <w:jc w:val="both"/>
      </w:pPr>
      <w:r w:rsidRPr="003D3BD3">
        <w:t xml:space="preserve">- </w:t>
      </w:r>
      <w:r w:rsidR="005C57D8" w:rsidRPr="003D3BD3">
        <w:t>34.91</w:t>
      </w:r>
      <w:r w:rsidR="0036018F" w:rsidRPr="003D3BD3">
        <w:t>5</w:t>
      </w:r>
      <w:r w:rsidR="005C57D8" w:rsidRPr="003D3BD3">
        <w:t xml:space="preserve"> </w:t>
      </w:r>
      <w:r w:rsidRPr="003D3BD3">
        <w:t>euro nel 20</w:t>
      </w:r>
      <w:r w:rsidR="00E62FAD" w:rsidRPr="003D3BD3">
        <w:t xml:space="preserve">11 </w:t>
      </w:r>
      <w:r w:rsidR="00B64757" w:rsidRPr="003D3BD3">
        <w:t>(</w:t>
      </w:r>
      <w:r w:rsidR="004A3C35" w:rsidRPr="003D3BD3">
        <w:t>+</w:t>
      </w:r>
      <w:r w:rsidR="00B64757" w:rsidRPr="003D3BD3">
        <w:t>0,7%)</w:t>
      </w:r>
    </w:p>
    <w:p w:rsidR="00F4165A" w:rsidRPr="003D3BD3" w:rsidRDefault="00F4165A" w:rsidP="00C9737A">
      <w:pPr>
        <w:spacing w:line="276" w:lineRule="auto"/>
        <w:jc w:val="both"/>
      </w:pPr>
      <w:r w:rsidRPr="003D3BD3">
        <w:t xml:space="preserve">- </w:t>
      </w:r>
      <w:r w:rsidR="005C57D8" w:rsidRPr="003D3BD3">
        <w:t>34.6</w:t>
      </w:r>
      <w:r w:rsidR="00260536" w:rsidRPr="003D3BD3">
        <w:t>12</w:t>
      </w:r>
      <w:r w:rsidRPr="003D3BD3">
        <w:t xml:space="preserve"> euro nel 2012 (-0,9%)</w:t>
      </w:r>
    </w:p>
    <w:p w:rsidR="005C57D8" w:rsidRPr="003D3BD3" w:rsidRDefault="005C57D8" w:rsidP="00C9737A">
      <w:pPr>
        <w:spacing w:line="276" w:lineRule="auto"/>
        <w:jc w:val="both"/>
      </w:pPr>
      <w:r w:rsidRPr="003D3BD3">
        <w:t>- 34.5</w:t>
      </w:r>
      <w:r w:rsidR="00127378" w:rsidRPr="003D3BD3">
        <w:t>2</w:t>
      </w:r>
      <w:r w:rsidR="00635A4E">
        <w:t>6</w:t>
      </w:r>
      <w:r w:rsidRPr="003D3BD3">
        <w:t xml:space="preserve"> euro nel 2013</w:t>
      </w:r>
      <w:r w:rsidR="00B64757" w:rsidRPr="003D3BD3">
        <w:t xml:space="preserve"> </w:t>
      </w:r>
      <w:r w:rsidR="00A92FDC">
        <w:t>(-0,2</w:t>
      </w:r>
      <w:r w:rsidR="004A3C35" w:rsidRPr="003D3BD3">
        <w:t>%)</w:t>
      </w:r>
    </w:p>
    <w:p w:rsidR="003D3BD3" w:rsidRDefault="003D3BD3" w:rsidP="00C9737A">
      <w:pPr>
        <w:spacing w:line="276" w:lineRule="auto"/>
        <w:jc w:val="both"/>
      </w:pPr>
      <w:r w:rsidRPr="003D3BD3">
        <w:t>- 34.3</w:t>
      </w:r>
      <w:r w:rsidR="00635A4E">
        <w:t>55</w:t>
      </w:r>
      <w:r w:rsidRPr="003D3BD3">
        <w:t xml:space="preserve"> euro nel 2014 (-0,5%)</w:t>
      </w:r>
    </w:p>
    <w:p w:rsidR="00635A4E" w:rsidRPr="003D3BD3" w:rsidRDefault="00635A4E" w:rsidP="00C9737A">
      <w:pPr>
        <w:spacing w:line="276" w:lineRule="auto"/>
        <w:jc w:val="both"/>
      </w:pPr>
      <w:r>
        <w:t>- 34.146 euro nel 2015 (</w:t>
      </w:r>
      <w:r w:rsidR="00A92FDC">
        <w:t>-0.6%)</w:t>
      </w:r>
    </w:p>
    <w:p w:rsidR="00731B12" w:rsidRDefault="00731B12" w:rsidP="00C9737A">
      <w:pPr>
        <w:spacing w:line="276" w:lineRule="auto"/>
        <w:jc w:val="both"/>
      </w:pPr>
    </w:p>
    <w:p w:rsidR="003D3BD3" w:rsidRDefault="003D3BD3" w:rsidP="00C9737A">
      <w:pPr>
        <w:spacing w:line="276" w:lineRule="auto"/>
        <w:jc w:val="both"/>
      </w:pPr>
    </w:p>
    <w:p w:rsidR="003D3BD3" w:rsidRDefault="003D3BD3" w:rsidP="00C9737A">
      <w:pPr>
        <w:spacing w:line="276" w:lineRule="auto"/>
        <w:jc w:val="both"/>
      </w:pPr>
    </w:p>
    <w:p w:rsidR="003D3BD3" w:rsidRPr="003D3BD3" w:rsidRDefault="003D3BD3" w:rsidP="00C9737A">
      <w:pPr>
        <w:spacing w:line="276" w:lineRule="auto"/>
        <w:jc w:val="both"/>
        <w:sectPr w:rsidR="003D3BD3" w:rsidRPr="003D3BD3" w:rsidSect="00731B12">
          <w:type w:val="continuous"/>
          <w:pgSz w:w="11906" w:h="16838"/>
          <w:pgMar w:top="2608" w:right="1134" w:bottom="1701" w:left="1247" w:header="720" w:footer="720" w:gutter="0"/>
          <w:cols w:space="708"/>
          <w:docGrid w:linePitch="360"/>
        </w:sectPr>
      </w:pPr>
    </w:p>
    <w:p w:rsidR="005C57D8" w:rsidRPr="00642F6A" w:rsidRDefault="005C57D8" w:rsidP="00F4165A">
      <w:pPr>
        <w:jc w:val="both"/>
      </w:pPr>
    </w:p>
    <w:sectPr w:rsidR="005C57D8" w:rsidRPr="00642F6A" w:rsidSect="00731B12">
      <w:type w:val="continuous"/>
      <w:pgSz w:w="11906" w:h="16838"/>
      <w:pgMar w:top="2608" w:right="1134" w:bottom="1701" w:left="1247" w:header="720" w:footer="720" w:gutter="0"/>
      <w:cols w:num="2" w:space="708" w:equalWidth="0">
        <w:col w:w="6114" w:space="708"/>
        <w:col w:w="270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A6" w:rsidRDefault="00BD3FA6">
      <w:r>
        <w:separator/>
      </w:r>
    </w:p>
  </w:endnote>
  <w:endnote w:type="continuationSeparator" w:id="1">
    <w:p w:rsidR="00BD3FA6" w:rsidRDefault="00BD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A5" w:rsidRDefault="00000F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360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00FA5" w:rsidRDefault="00000FA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A5" w:rsidRDefault="00000F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1293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00FA5" w:rsidRDefault="00000FA5">
    <w:pPr>
      <w:pStyle w:val="Pidipagina"/>
      <w:ind w:right="360"/>
      <w:rPr>
        <w:color w:val="000080"/>
        <w:sz w:val="20"/>
      </w:rPr>
    </w:pPr>
    <w:r>
      <w:rPr>
        <w:b/>
        <w:noProof/>
        <w:color w:val="000080"/>
        <w:spacing w:val="20"/>
      </w:rPr>
      <w:pict>
        <v:line id="_x0000_s2049" style="position:absolute;z-index:251657728" from=".45pt,-1.55pt" to="481.5pt,-1.55pt" o:allowincell="f" strokecolor="navy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A6" w:rsidRDefault="00BD3FA6">
      <w:r>
        <w:separator/>
      </w:r>
    </w:p>
  </w:footnote>
  <w:footnote w:type="continuationSeparator" w:id="1">
    <w:p w:rsidR="00BD3FA6" w:rsidRDefault="00BD3FA6">
      <w:r>
        <w:continuationSeparator/>
      </w:r>
    </w:p>
  </w:footnote>
  <w:footnote w:id="2">
    <w:p w:rsidR="00000FA5" w:rsidRDefault="00000FA5" w:rsidP="00E7284B">
      <w:pPr>
        <w:ind w:left="-102"/>
        <w:jc w:val="both"/>
      </w:pPr>
      <w:r>
        <w:rPr>
          <w:rStyle w:val="Rimandonotaapidipagina"/>
        </w:rPr>
        <w:footnoteRef/>
      </w:r>
      <w:r w:rsidR="00054F7B">
        <w:rPr>
          <w:sz w:val="20"/>
          <w:szCs w:val="20"/>
        </w:rPr>
        <w:t xml:space="preserve"> </w:t>
      </w:r>
      <w:r w:rsidRPr="00371254">
        <w:rPr>
          <w:sz w:val="20"/>
          <w:szCs w:val="20"/>
        </w:rPr>
        <w:t xml:space="preserve">Nella consistenza del personale a tempo indeterminato è compreso il personale della Scuola </w:t>
      </w:r>
      <w:r>
        <w:rPr>
          <w:sz w:val="20"/>
          <w:szCs w:val="20"/>
        </w:rPr>
        <w:t xml:space="preserve">e dell’AFAM </w:t>
      </w:r>
      <w:r w:rsidRPr="00371254">
        <w:rPr>
          <w:sz w:val="20"/>
          <w:szCs w:val="20"/>
        </w:rPr>
        <w:t xml:space="preserve">con rapporto di lavoro a tempo </w:t>
      </w:r>
      <w:r w:rsidRPr="005F6E36">
        <w:rPr>
          <w:sz w:val="20"/>
          <w:szCs w:val="20"/>
        </w:rPr>
        <w:t>determinato che ricopre posti di organico vacanti (annuale</w:t>
      </w:r>
      <w:r w:rsidRPr="00371254">
        <w:rPr>
          <w:sz w:val="20"/>
          <w:szCs w:val="20"/>
        </w:rPr>
        <w:t xml:space="preserve"> e fino al termine delle attività didattiche)</w:t>
      </w:r>
      <w:r>
        <w:rPr>
          <w:sz w:val="20"/>
          <w:szCs w:val="20"/>
        </w:rPr>
        <w:t>, gli allievi e i volontari delle Forze Armate e dei Corpi di Polizia.</w:t>
      </w:r>
    </w:p>
  </w:footnote>
  <w:footnote w:id="3">
    <w:p w:rsidR="00000FA5" w:rsidRPr="00B562D7" w:rsidRDefault="00000FA5" w:rsidP="0087610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personale a tempo determinato non comprende i “supplenti brevi” della scuola dei quali si rileva solo la spesa, mentre il per il personale a tempo determinato annuale e fino al termine delle attività didattiche è stato considerato nel totale degli occupati a tempo indeterminato in quanto è assunto a copertura di posti di organico vacanti.</w:t>
      </w:r>
    </w:p>
    <w:p w:rsidR="00000FA5" w:rsidRPr="001937E4" w:rsidRDefault="00000FA5" w:rsidP="00876102">
      <w:pPr>
        <w:pStyle w:val="Testonotaapidipagina"/>
        <w:jc w:val="both"/>
      </w:pPr>
      <w:r>
        <w:t>Sono esclusi dal calcolo i Professori universitari a contratto (per 60 ore annue) e i ricerc</w:t>
      </w:r>
      <w:r w:rsidR="007A4920">
        <w:t>atori assegnisti pari a circa 18</w:t>
      </w:r>
      <w:r>
        <w:t>.000 unità.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A5" w:rsidRDefault="00000FA5">
    <w:pPr>
      <w:pStyle w:val="Intestazione"/>
      <w:spacing w:before="0"/>
      <w:jc w:val="center"/>
      <w:rPr>
        <w:color w:val="000080"/>
        <w:spacing w:val="20"/>
        <w:sz w:val="28"/>
      </w:rPr>
    </w:pPr>
  </w:p>
  <w:p w:rsidR="00F50987" w:rsidRDefault="0086732F" w:rsidP="00F50987">
    <w:pPr>
      <w:pStyle w:val="Intestazione"/>
      <w:spacing w:before="0"/>
      <w:rPr>
        <w:b/>
        <w:noProof/>
        <w:color w:val="000080"/>
        <w:spacing w:val="20"/>
        <w:sz w:val="28"/>
      </w:rPr>
    </w:pPr>
    <w:r w:rsidRPr="009E052D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" style="width:57.25pt;height:32.3pt;visibility:visible">
          <v:imagedata r:id="rId1" o:title="logo"/>
        </v:shape>
      </w:pict>
    </w:r>
    <w:r w:rsidR="00F50987" w:rsidRPr="00F50987">
      <w:rPr>
        <w:b/>
        <w:noProof/>
        <w:color w:val="000080"/>
        <w:spacing w:val="20"/>
        <w:sz w:val="28"/>
      </w:rPr>
      <w:t xml:space="preserve"> </w:t>
    </w:r>
  </w:p>
  <w:p w:rsidR="00000FA5" w:rsidRDefault="00F50987" w:rsidP="00F50987">
    <w:pPr>
      <w:pStyle w:val="Intestazione"/>
      <w:spacing w:before="0"/>
      <w:jc w:val="center"/>
      <w:rPr>
        <w:b/>
        <w:color w:val="000080"/>
        <w:spacing w:val="20"/>
      </w:rPr>
    </w:pPr>
    <w:r>
      <w:rPr>
        <w:b/>
        <w:noProof/>
        <w:color w:val="000080"/>
        <w:spacing w:val="20"/>
        <w:sz w:val="28"/>
      </w:rPr>
      <w:t>RAGIONERIA GENERALE DELLO STATO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1EA0"/>
    <w:multiLevelType w:val="hybridMultilevel"/>
    <w:tmpl w:val="9356D82A"/>
    <w:lvl w:ilvl="0" w:tplc="554CD01E">
      <w:start w:val="1"/>
      <w:numFmt w:val="bullet"/>
      <w:lvlText w:val="﻿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40A"/>
    <w:multiLevelType w:val="hybridMultilevel"/>
    <w:tmpl w:val="3D7C2108"/>
    <w:lvl w:ilvl="0" w:tplc="2DA8128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E397399"/>
    <w:multiLevelType w:val="hybridMultilevel"/>
    <w:tmpl w:val="DAF0AF32"/>
    <w:lvl w:ilvl="0" w:tplc="B48AA25C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93F1C"/>
    <w:multiLevelType w:val="hybridMultilevel"/>
    <w:tmpl w:val="38D4AABC"/>
    <w:lvl w:ilvl="0" w:tplc="B48AA25C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D3A3D"/>
    <w:multiLevelType w:val="hybridMultilevel"/>
    <w:tmpl w:val="732E50A0"/>
    <w:lvl w:ilvl="0" w:tplc="B48AA25C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43155"/>
    <w:multiLevelType w:val="hybridMultilevel"/>
    <w:tmpl w:val="47ACF5FA"/>
    <w:lvl w:ilvl="0" w:tplc="B48AA25C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15AA4"/>
    <w:multiLevelType w:val="hybridMultilevel"/>
    <w:tmpl w:val="AE462F98"/>
    <w:lvl w:ilvl="0" w:tplc="B48AA25C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83E21"/>
    <w:multiLevelType w:val="hybridMultilevel"/>
    <w:tmpl w:val="BA7E2AD4"/>
    <w:lvl w:ilvl="0" w:tplc="B48AA25C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3136F"/>
    <w:multiLevelType w:val="hybridMultilevel"/>
    <w:tmpl w:val="D8B2E158"/>
    <w:lvl w:ilvl="0" w:tplc="B48AA25C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A012B"/>
    <w:multiLevelType w:val="hybridMultilevel"/>
    <w:tmpl w:val="43ACAABC"/>
    <w:lvl w:ilvl="0" w:tplc="D006F9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C4BF2"/>
    <w:multiLevelType w:val="hybridMultilevel"/>
    <w:tmpl w:val="016A9228"/>
    <w:lvl w:ilvl="0" w:tplc="D006F97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9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B57"/>
    <w:rsid w:val="00000FA5"/>
    <w:rsid w:val="000043B2"/>
    <w:rsid w:val="00007355"/>
    <w:rsid w:val="00011692"/>
    <w:rsid w:val="00017E44"/>
    <w:rsid w:val="00021F34"/>
    <w:rsid w:val="00033529"/>
    <w:rsid w:val="000356BB"/>
    <w:rsid w:val="00040029"/>
    <w:rsid w:val="00040F69"/>
    <w:rsid w:val="000431A1"/>
    <w:rsid w:val="00046B47"/>
    <w:rsid w:val="00052E43"/>
    <w:rsid w:val="000536D6"/>
    <w:rsid w:val="000545AA"/>
    <w:rsid w:val="00054F7B"/>
    <w:rsid w:val="00056960"/>
    <w:rsid w:val="00064025"/>
    <w:rsid w:val="00067D2A"/>
    <w:rsid w:val="00070D72"/>
    <w:rsid w:val="00072477"/>
    <w:rsid w:val="000830B2"/>
    <w:rsid w:val="0008558B"/>
    <w:rsid w:val="00091AEC"/>
    <w:rsid w:val="000977C2"/>
    <w:rsid w:val="00097A0A"/>
    <w:rsid w:val="000A03D1"/>
    <w:rsid w:val="000A2DE0"/>
    <w:rsid w:val="000B52EA"/>
    <w:rsid w:val="000C482B"/>
    <w:rsid w:val="000D146A"/>
    <w:rsid w:val="000D1FEF"/>
    <w:rsid w:val="000D263F"/>
    <w:rsid w:val="000D5DC6"/>
    <w:rsid w:val="000D5EA7"/>
    <w:rsid w:val="000D6ACC"/>
    <w:rsid w:val="000E15C3"/>
    <w:rsid w:val="000E3A26"/>
    <w:rsid w:val="000E4662"/>
    <w:rsid w:val="000E59FA"/>
    <w:rsid w:val="000F09E8"/>
    <w:rsid w:val="000F5568"/>
    <w:rsid w:val="0010514F"/>
    <w:rsid w:val="00106510"/>
    <w:rsid w:val="001123A3"/>
    <w:rsid w:val="00122B17"/>
    <w:rsid w:val="0012532D"/>
    <w:rsid w:val="00126560"/>
    <w:rsid w:val="00127378"/>
    <w:rsid w:val="00132C33"/>
    <w:rsid w:val="00133D62"/>
    <w:rsid w:val="00135380"/>
    <w:rsid w:val="001377A3"/>
    <w:rsid w:val="00137C5A"/>
    <w:rsid w:val="001530F8"/>
    <w:rsid w:val="001556C2"/>
    <w:rsid w:val="0017052C"/>
    <w:rsid w:val="00184DF6"/>
    <w:rsid w:val="0018657C"/>
    <w:rsid w:val="001937E4"/>
    <w:rsid w:val="001A2461"/>
    <w:rsid w:val="001A2C6F"/>
    <w:rsid w:val="001A705B"/>
    <w:rsid w:val="001B0F43"/>
    <w:rsid w:val="001B6B83"/>
    <w:rsid w:val="001C597C"/>
    <w:rsid w:val="001D3E2E"/>
    <w:rsid w:val="001D70AB"/>
    <w:rsid w:val="001F607C"/>
    <w:rsid w:val="001F6FC5"/>
    <w:rsid w:val="00200FE3"/>
    <w:rsid w:val="00204416"/>
    <w:rsid w:val="00207522"/>
    <w:rsid w:val="002076C9"/>
    <w:rsid w:val="002137A0"/>
    <w:rsid w:val="00214130"/>
    <w:rsid w:val="00217E3D"/>
    <w:rsid w:val="0023120A"/>
    <w:rsid w:val="00233A55"/>
    <w:rsid w:val="002345B8"/>
    <w:rsid w:val="0023586E"/>
    <w:rsid w:val="002365DA"/>
    <w:rsid w:val="00241837"/>
    <w:rsid w:val="00250ECD"/>
    <w:rsid w:val="00251C88"/>
    <w:rsid w:val="00253CCB"/>
    <w:rsid w:val="00260536"/>
    <w:rsid w:val="00261170"/>
    <w:rsid w:val="00271AEB"/>
    <w:rsid w:val="00272DAC"/>
    <w:rsid w:val="0027377C"/>
    <w:rsid w:val="00276B57"/>
    <w:rsid w:val="00282D50"/>
    <w:rsid w:val="0028402B"/>
    <w:rsid w:val="0028424C"/>
    <w:rsid w:val="00284CD0"/>
    <w:rsid w:val="00287CFA"/>
    <w:rsid w:val="002A0978"/>
    <w:rsid w:val="002A1937"/>
    <w:rsid w:val="002A2EFA"/>
    <w:rsid w:val="002A3A5C"/>
    <w:rsid w:val="002B756D"/>
    <w:rsid w:val="002C1F35"/>
    <w:rsid w:val="002C450C"/>
    <w:rsid w:val="002C4A12"/>
    <w:rsid w:val="002C554B"/>
    <w:rsid w:val="002C562B"/>
    <w:rsid w:val="002D0204"/>
    <w:rsid w:val="002D18BD"/>
    <w:rsid w:val="002E2153"/>
    <w:rsid w:val="002E4C22"/>
    <w:rsid w:val="002F2FAB"/>
    <w:rsid w:val="002F4F31"/>
    <w:rsid w:val="002F53EE"/>
    <w:rsid w:val="002F5B67"/>
    <w:rsid w:val="002F726C"/>
    <w:rsid w:val="00301E58"/>
    <w:rsid w:val="003031C6"/>
    <w:rsid w:val="003119B3"/>
    <w:rsid w:val="00311D44"/>
    <w:rsid w:val="00311F5F"/>
    <w:rsid w:val="00313313"/>
    <w:rsid w:val="00313BC0"/>
    <w:rsid w:val="003210C0"/>
    <w:rsid w:val="00321593"/>
    <w:rsid w:val="0032209B"/>
    <w:rsid w:val="00322358"/>
    <w:rsid w:val="003431C7"/>
    <w:rsid w:val="003438C3"/>
    <w:rsid w:val="00347DDF"/>
    <w:rsid w:val="003517C5"/>
    <w:rsid w:val="0036018F"/>
    <w:rsid w:val="00361DD9"/>
    <w:rsid w:val="00364FD8"/>
    <w:rsid w:val="003665D0"/>
    <w:rsid w:val="00371254"/>
    <w:rsid w:val="003849C9"/>
    <w:rsid w:val="0039157A"/>
    <w:rsid w:val="00393705"/>
    <w:rsid w:val="0039609D"/>
    <w:rsid w:val="003A7CDA"/>
    <w:rsid w:val="003B0C7E"/>
    <w:rsid w:val="003B2064"/>
    <w:rsid w:val="003B3293"/>
    <w:rsid w:val="003B5E3C"/>
    <w:rsid w:val="003C0805"/>
    <w:rsid w:val="003C75A9"/>
    <w:rsid w:val="003D035A"/>
    <w:rsid w:val="003D2067"/>
    <w:rsid w:val="003D387E"/>
    <w:rsid w:val="003D3BD3"/>
    <w:rsid w:val="003D6656"/>
    <w:rsid w:val="003D6F97"/>
    <w:rsid w:val="003E4259"/>
    <w:rsid w:val="003E7C03"/>
    <w:rsid w:val="003F36D5"/>
    <w:rsid w:val="00402ED1"/>
    <w:rsid w:val="004123E5"/>
    <w:rsid w:val="00416E73"/>
    <w:rsid w:val="00417BB5"/>
    <w:rsid w:val="00420790"/>
    <w:rsid w:val="00421F9A"/>
    <w:rsid w:val="00423910"/>
    <w:rsid w:val="004241FC"/>
    <w:rsid w:val="004368D5"/>
    <w:rsid w:val="00442C0E"/>
    <w:rsid w:val="00453C73"/>
    <w:rsid w:val="004559A5"/>
    <w:rsid w:val="00461C37"/>
    <w:rsid w:val="00466AB1"/>
    <w:rsid w:val="004718D2"/>
    <w:rsid w:val="00472C6B"/>
    <w:rsid w:val="00473B2C"/>
    <w:rsid w:val="00473D94"/>
    <w:rsid w:val="00483191"/>
    <w:rsid w:val="0049512D"/>
    <w:rsid w:val="004A3C35"/>
    <w:rsid w:val="004C13B9"/>
    <w:rsid w:val="004E3B56"/>
    <w:rsid w:val="004E619E"/>
    <w:rsid w:val="004F5D71"/>
    <w:rsid w:val="00500701"/>
    <w:rsid w:val="00500C1F"/>
    <w:rsid w:val="00505086"/>
    <w:rsid w:val="00517E4F"/>
    <w:rsid w:val="0052100E"/>
    <w:rsid w:val="005213BC"/>
    <w:rsid w:val="005244DC"/>
    <w:rsid w:val="00526E5B"/>
    <w:rsid w:val="00531DFD"/>
    <w:rsid w:val="00535835"/>
    <w:rsid w:val="005358AA"/>
    <w:rsid w:val="00552CB8"/>
    <w:rsid w:val="00553AE0"/>
    <w:rsid w:val="00555E07"/>
    <w:rsid w:val="005606EE"/>
    <w:rsid w:val="005678B3"/>
    <w:rsid w:val="005709DE"/>
    <w:rsid w:val="00582C6A"/>
    <w:rsid w:val="00587C2F"/>
    <w:rsid w:val="005902C8"/>
    <w:rsid w:val="00593FE0"/>
    <w:rsid w:val="005A0670"/>
    <w:rsid w:val="005A5225"/>
    <w:rsid w:val="005B3560"/>
    <w:rsid w:val="005C2378"/>
    <w:rsid w:val="005C57D8"/>
    <w:rsid w:val="005C76EE"/>
    <w:rsid w:val="005D7208"/>
    <w:rsid w:val="005D7654"/>
    <w:rsid w:val="005E201D"/>
    <w:rsid w:val="005E4952"/>
    <w:rsid w:val="005F6E36"/>
    <w:rsid w:val="005F6EE9"/>
    <w:rsid w:val="00601296"/>
    <w:rsid w:val="0060433D"/>
    <w:rsid w:val="006152AF"/>
    <w:rsid w:val="00617CCC"/>
    <w:rsid w:val="00622632"/>
    <w:rsid w:val="006243C1"/>
    <w:rsid w:val="00625777"/>
    <w:rsid w:val="006309F7"/>
    <w:rsid w:val="00631FBA"/>
    <w:rsid w:val="00633208"/>
    <w:rsid w:val="00633C51"/>
    <w:rsid w:val="00635A4E"/>
    <w:rsid w:val="00641854"/>
    <w:rsid w:val="00642F6A"/>
    <w:rsid w:val="00643EE1"/>
    <w:rsid w:val="00645437"/>
    <w:rsid w:val="00650C5D"/>
    <w:rsid w:val="0066231E"/>
    <w:rsid w:val="00663C4E"/>
    <w:rsid w:val="00666C61"/>
    <w:rsid w:val="00672257"/>
    <w:rsid w:val="006761F2"/>
    <w:rsid w:val="006847D4"/>
    <w:rsid w:val="0069246B"/>
    <w:rsid w:val="0069507B"/>
    <w:rsid w:val="006A2537"/>
    <w:rsid w:val="006A455A"/>
    <w:rsid w:val="006B5442"/>
    <w:rsid w:val="006B59BB"/>
    <w:rsid w:val="006C37CD"/>
    <w:rsid w:val="006C5880"/>
    <w:rsid w:val="006D23E7"/>
    <w:rsid w:val="006D6550"/>
    <w:rsid w:val="006E1616"/>
    <w:rsid w:val="006E1ACE"/>
    <w:rsid w:val="006E62B8"/>
    <w:rsid w:val="006F70AD"/>
    <w:rsid w:val="00700E16"/>
    <w:rsid w:val="007017A2"/>
    <w:rsid w:val="00711AC7"/>
    <w:rsid w:val="007125C5"/>
    <w:rsid w:val="0071339E"/>
    <w:rsid w:val="00716745"/>
    <w:rsid w:val="0072088F"/>
    <w:rsid w:val="00721738"/>
    <w:rsid w:val="00731B12"/>
    <w:rsid w:val="00732195"/>
    <w:rsid w:val="00734F41"/>
    <w:rsid w:val="00735078"/>
    <w:rsid w:val="007357AD"/>
    <w:rsid w:val="00743551"/>
    <w:rsid w:val="00754EBC"/>
    <w:rsid w:val="00755272"/>
    <w:rsid w:val="00756DC2"/>
    <w:rsid w:val="00782B8C"/>
    <w:rsid w:val="007947F3"/>
    <w:rsid w:val="007A4315"/>
    <w:rsid w:val="007A4920"/>
    <w:rsid w:val="007C4B2E"/>
    <w:rsid w:val="007C6D41"/>
    <w:rsid w:val="007C7717"/>
    <w:rsid w:val="007D0773"/>
    <w:rsid w:val="007D2C95"/>
    <w:rsid w:val="007D3863"/>
    <w:rsid w:val="007D3C16"/>
    <w:rsid w:val="007E0F24"/>
    <w:rsid w:val="007E19F8"/>
    <w:rsid w:val="007E1A6E"/>
    <w:rsid w:val="007E2F88"/>
    <w:rsid w:val="007E3855"/>
    <w:rsid w:val="00801A59"/>
    <w:rsid w:val="00803F88"/>
    <w:rsid w:val="008049C1"/>
    <w:rsid w:val="00804F43"/>
    <w:rsid w:val="00807E9C"/>
    <w:rsid w:val="00811AC5"/>
    <w:rsid w:val="00813262"/>
    <w:rsid w:val="00816460"/>
    <w:rsid w:val="008251A3"/>
    <w:rsid w:val="00831E8F"/>
    <w:rsid w:val="0083719F"/>
    <w:rsid w:val="008426CA"/>
    <w:rsid w:val="0084574B"/>
    <w:rsid w:val="0085040D"/>
    <w:rsid w:val="00853ACF"/>
    <w:rsid w:val="00860215"/>
    <w:rsid w:val="00863401"/>
    <w:rsid w:val="0086732F"/>
    <w:rsid w:val="00867357"/>
    <w:rsid w:val="00876102"/>
    <w:rsid w:val="008811A0"/>
    <w:rsid w:val="008816E1"/>
    <w:rsid w:val="008817D6"/>
    <w:rsid w:val="00887F47"/>
    <w:rsid w:val="00890540"/>
    <w:rsid w:val="008915EC"/>
    <w:rsid w:val="008943BC"/>
    <w:rsid w:val="008A35BF"/>
    <w:rsid w:val="008A5405"/>
    <w:rsid w:val="008A5BDD"/>
    <w:rsid w:val="008A6CB5"/>
    <w:rsid w:val="008A6F70"/>
    <w:rsid w:val="008B7D8D"/>
    <w:rsid w:val="008C195C"/>
    <w:rsid w:val="008C37F7"/>
    <w:rsid w:val="008C564E"/>
    <w:rsid w:val="008C6C96"/>
    <w:rsid w:val="008D6C38"/>
    <w:rsid w:val="008E07CA"/>
    <w:rsid w:val="008E3E9C"/>
    <w:rsid w:val="008E7623"/>
    <w:rsid w:val="008F117B"/>
    <w:rsid w:val="008F3754"/>
    <w:rsid w:val="00903438"/>
    <w:rsid w:val="00904BE5"/>
    <w:rsid w:val="0090694A"/>
    <w:rsid w:val="009208BB"/>
    <w:rsid w:val="0092189C"/>
    <w:rsid w:val="009233BB"/>
    <w:rsid w:val="00935B75"/>
    <w:rsid w:val="00942ED6"/>
    <w:rsid w:val="0096744D"/>
    <w:rsid w:val="00983419"/>
    <w:rsid w:val="0098367F"/>
    <w:rsid w:val="009923B3"/>
    <w:rsid w:val="00992F8B"/>
    <w:rsid w:val="009957BF"/>
    <w:rsid w:val="00995D3C"/>
    <w:rsid w:val="0099629F"/>
    <w:rsid w:val="009B171E"/>
    <w:rsid w:val="009C5666"/>
    <w:rsid w:val="009D0A64"/>
    <w:rsid w:val="009D1F07"/>
    <w:rsid w:val="009E7A17"/>
    <w:rsid w:val="009F1C42"/>
    <w:rsid w:val="009F7047"/>
    <w:rsid w:val="00A008EA"/>
    <w:rsid w:val="00A00902"/>
    <w:rsid w:val="00A00D9C"/>
    <w:rsid w:val="00A0202E"/>
    <w:rsid w:val="00A027DB"/>
    <w:rsid w:val="00A03443"/>
    <w:rsid w:val="00A27045"/>
    <w:rsid w:val="00A307A4"/>
    <w:rsid w:val="00A334F2"/>
    <w:rsid w:val="00A367D2"/>
    <w:rsid w:val="00A40D78"/>
    <w:rsid w:val="00A424FE"/>
    <w:rsid w:val="00A45DEC"/>
    <w:rsid w:val="00A45EFA"/>
    <w:rsid w:val="00A50068"/>
    <w:rsid w:val="00A555C8"/>
    <w:rsid w:val="00A72D95"/>
    <w:rsid w:val="00A74C2E"/>
    <w:rsid w:val="00A77AC9"/>
    <w:rsid w:val="00A84C6C"/>
    <w:rsid w:val="00A85B86"/>
    <w:rsid w:val="00A92FDC"/>
    <w:rsid w:val="00A9469C"/>
    <w:rsid w:val="00AA2A16"/>
    <w:rsid w:val="00AB41B1"/>
    <w:rsid w:val="00AD232E"/>
    <w:rsid w:val="00AD4BC5"/>
    <w:rsid w:val="00AE10C5"/>
    <w:rsid w:val="00AE13A0"/>
    <w:rsid w:val="00AE1D52"/>
    <w:rsid w:val="00AE25A4"/>
    <w:rsid w:val="00AE2AE3"/>
    <w:rsid w:val="00AE2E2A"/>
    <w:rsid w:val="00AE7D10"/>
    <w:rsid w:val="00AF32ED"/>
    <w:rsid w:val="00AF3A50"/>
    <w:rsid w:val="00AF7F3D"/>
    <w:rsid w:val="00B007F5"/>
    <w:rsid w:val="00B0217D"/>
    <w:rsid w:val="00B0577C"/>
    <w:rsid w:val="00B11F64"/>
    <w:rsid w:val="00B211AD"/>
    <w:rsid w:val="00B2414D"/>
    <w:rsid w:val="00B2794D"/>
    <w:rsid w:val="00B307F0"/>
    <w:rsid w:val="00B3191A"/>
    <w:rsid w:val="00B32109"/>
    <w:rsid w:val="00B410CB"/>
    <w:rsid w:val="00B42965"/>
    <w:rsid w:val="00B53FF8"/>
    <w:rsid w:val="00B562D7"/>
    <w:rsid w:val="00B57D1E"/>
    <w:rsid w:val="00B60A94"/>
    <w:rsid w:val="00B644D2"/>
    <w:rsid w:val="00B64757"/>
    <w:rsid w:val="00B650A3"/>
    <w:rsid w:val="00B66B00"/>
    <w:rsid w:val="00B7282C"/>
    <w:rsid w:val="00B737C3"/>
    <w:rsid w:val="00B73F20"/>
    <w:rsid w:val="00B8563B"/>
    <w:rsid w:val="00B902FE"/>
    <w:rsid w:val="00B9762D"/>
    <w:rsid w:val="00BA0B1A"/>
    <w:rsid w:val="00BA45E5"/>
    <w:rsid w:val="00BB1A3B"/>
    <w:rsid w:val="00BC4DEA"/>
    <w:rsid w:val="00BC53C1"/>
    <w:rsid w:val="00BD3FA6"/>
    <w:rsid w:val="00BD7673"/>
    <w:rsid w:val="00BE53F2"/>
    <w:rsid w:val="00BF3063"/>
    <w:rsid w:val="00BF7829"/>
    <w:rsid w:val="00C1380C"/>
    <w:rsid w:val="00C25FC5"/>
    <w:rsid w:val="00C271BD"/>
    <w:rsid w:val="00C31B1B"/>
    <w:rsid w:val="00C35F4C"/>
    <w:rsid w:val="00C42AB3"/>
    <w:rsid w:val="00C5582E"/>
    <w:rsid w:val="00C603E1"/>
    <w:rsid w:val="00C61108"/>
    <w:rsid w:val="00C6164C"/>
    <w:rsid w:val="00C6495B"/>
    <w:rsid w:val="00C65CDC"/>
    <w:rsid w:val="00C71015"/>
    <w:rsid w:val="00C7650E"/>
    <w:rsid w:val="00C90087"/>
    <w:rsid w:val="00C93130"/>
    <w:rsid w:val="00C9737A"/>
    <w:rsid w:val="00CA2ED7"/>
    <w:rsid w:val="00CA4D5D"/>
    <w:rsid w:val="00CA79DA"/>
    <w:rsid w:val="00CB38D3"/>
    <w:rsid w:val="00CB4765"/>
    <w:rsid w:val="00CB5962"/>
    <w:rsid w:val="00CC2573"/>
    <w:rsid w:val="00CD34FB"/>
    <w:rsid w:val="00CE2933"/>
    <w:rsid w:val="00CF0D2E"/>
    <w:rsid w:val="00CF1A1F"/>
    <w:rsid w:val="00CF20F5"/>
    <w:rsid w:val="00CF35E1"/>
    <w:rsid w:val="00D00C96"/>
    <w:rsid w:val="00D04B25"/>
    <w:rsid w:val="00D16F05"/>
    <w:rsid w:val="00D219D2"/>
    <w:rsid w:val="00D23609"/>
    <w:rsid w:val="00D2480E"/>
    <w:rsid w:val="00D26BFF"/>
    <w:rsid w:val="00D27DB2"/>
    <w:rsid w:val="00D40AFF"/>
    <w:rsid w:val="00D41DC9"/>
    <w:rsid w:val="00D4225A"/>
    <w:rsid w:val="00D42739"/>
    <w:rsid w:val="00D62957"/>
    <w:rsid w:val="00D71634"/>
    <w:rsid w:val="00D75419"/>
    <w:rsid w:val="00D86FC8"/>
    <w:rsid w:val="00D91711"/>
    <w:rsid w:val="00D96D2E"/>
    <w:rsid w:val="00DA3D33"/>
    <w:rsid w:val="00DA5D8F"/>
    <w:rsid w:val="00DA64C1"/>
    <w:rsid w:val="00DC165F"/>
    <w:rsid w:val="00DC22A7"/>
    <w:rsid w:val="00DC4D48"/>
    <w:rsid w:val="00DC4D53"/>
    <w:rsid w:val="00DF03C1"/>
    <w:rsid w:val="00DF308F"/>
    <w:rsid w:val="00E04646"/>
    <w:rsid w:val="00E054DC"/>
    <w:rsid w:val="00E05A8D"/>
    <w:rsid w:val="00E068FD"/>
    <w:rsid w:val="00E07F8D"/>
    <w:rsid w:val="00E14274"/>
    <w:rsid w:val="00E1481F"/>
    <w:rsid w:val="00E21299"/>
    <w:rsid w:val="00E26F9F"/>
    <w:rsid w:val="00E31FA7"/>
    <w:rsid w:val="00E44B04"/>
    <w:rsid w:val="00E50830"/>
    <w:rsid w:val="00E54445"/>
    <w:rsid w:val="00E5693A"/>
    <w:rsid w:val="00E604CE"/>
    <w:rsid w:val="00E62FAD"/>
    <w:rsid w:val="00E67AD9"/>
    <w:rsid w:val="00E67D20"/>
    <w:rsid w:val="00E713E8"/>
    <w:rsid w:val="00E716F5"/>
    <w:rsid w:val="00E7284B"/>
    <w:rsid w:val="00E740C8"/>
    <w:rsid w:val="00E8658A"/>
    <w:rsid w:val="00E87DAD"/>
    <w:rsid w:val="00E91A49"/>
    <w:rsid w:val="00E94010"/>
    <w:rsid w:val="00EA6F91"/>
    <w:rsid w:val="00EB26D9"/>
    <w:rsid w:val="00EC7233"/>
    <w:rsid w:val="00ED1293"/>
    <w:rsid w:val="00ED3430"/>
    <w:rsid w:val="00ED7130"/>
    <w:rsid w:val="00EE232E"/>
    <w:rsid w:val="00EE322D"/>
    <w:rsid w:val="00EF0707"/>
    <w:rsid w:val="00EF34E8"/>
    <w:rsid w:val="00F00A9D"/>
    <w:rsid w:val="00F234BE"/>
    <w:rsid w:val="00F34D2A"/>
    <w:rsid w:val="00F4165A"/>
    <w:rsid w:val="00F42386"/>
    <w:rsid w:val="00F50987"/>
    <w:rsid w:val="00F52EB5"/>
    <w:rsid w:val="00F540C6"/>
    <w:rsid w:val="00F6369A"/>
    <w:rsid w:val="00F709DA"/>
    <w:rsid w:val="00F720A1"/>
    <w:rsid w:val="00F7266C"/>
    <w:rsid w:val="00F72946"/>
    <w:rsid w:val="00F818E8"/>
    <w:rsid w:val="00F83783"/>
    <w:rsid w:val="00F85B38"/>
    <w:rsid w:val="00F873AC"/>
    <w:rsid w:val="00F87FA3"/>
    <w:rsid w:val="00F90E0A"/>
    <w:rsid w:val="00F92218"/>
    <w:rsid w:val="00F95BC5"/>
    <w:rsid w:val="00FA1BB0"/>
    <w:rsid w:val="00FA5269"/>
    <w:rsid w:val="00FA5B03"/>
    <w:rsid w:val="00FC1166"/>
    <w:rsid w:val="00FC24A4"/>
    <w:rsid w:val="00FC5D5C"/>
    <w:rsid w:val="00FD2167"/>
    <w:rsid w:val="00FD5EDD"/>
    <w:rsid w:val="00FE07BC"/>
    <w:rsid w:val="00FF3F2D"/>
    <w:rsid w:val="00F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6B5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76B57"/>
    <w:pPr>
      <w:tabs>
        <w:tab w:val="center" w:pos="4819"/>
        <w:tab w:val="right" w:pos="9638"/>
      </w:tabs>
      <w:spacing w:before="120"/>
    </w:pPr>
    <w:rPr>
      <w:rFonts w:eastAsia="MS Mincho"/>
      <w:szCs w:val="20"/>
      <w:lang w:eastAsia="ja-JP"/>
    </w:rPr>
  </w:style>
  <w:style w:type="paragraph" w:styleId="Pidipagina">
    <w:name w:val="footer"/>
    <w:basedOn w:val="Normale"/>
    <w:rsid w:val="00276B57"/>
    <w:pPr>
      <w:tabs>
        <w:tab w:val="center" w:pos="4819"/>
        <w:tab w:val="right" w:pos="9638"/>
      </w:tabs>
      <w:spacing w:before="120"/>
    </w:pPr>
    <w:rPr>
      <w:rFonts w:eastAsia="MS Mincho"/>
      <w:szCs w:val="20"/>
      <w:lang w:eastAsia="ja-JP"/>
    </w:rPr>
  </w:style>
  <w:style w:type="character" w:styleId="Numeropagina">
    <w:name w:val="page number"/>
    <w:basedOn w:val="Carpredefinitoparagrafo"/>
    <w:rsid w:val="00276B57"/>
  </w:style>
  <w:style w:type="paragraph" w:styleId="Testofumetto">
    <w:name w:val="Balloon Text"/>
    <w:basedOn w:val="Normale"/>
    <w:semiHidden/>
    <w:rsid w:val="00EF070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E4C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E4C22"/>
  </w:style>
  <w:style w:type="character" w:styleId="Rimandonotaapidipagina">
    <w:name w:val="footnote reference"/>
    <w:rsid w:val="002E4C22"/>
    <w:rPr>
      <w:vertAlign w:val="superscript"/>
    </w:rPr>
  </w:style>
  <w:style w:type="table" w:styleId="Grigliatabella">
    <w:name w:val="Table Grid"/>
    <w:basedOn w:val="Tabellanormale"/>
    <w:rsid w:val="0007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item">
    <w:name w:val="textitem"/>
    <w:rsid w:val="00B90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51F8-B0FE-4F1D-9D7B-3CB02D48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dati del triennio 2001-2003</vt:lpstr>
    </vt:vector>
  </TitlesOfParts>
  <Company>Ministero Economia e Finanze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dati del triennio 2001-2003</dc:title>
  <dc:subject/>
  <dc:creator>1st</dc:creator>
  <cp:keywords/>
  <cp:lastModifiedBy>Antonella Manotti</cp:lastModifiedBy>
  <cp:revision>2</cp:revision>
  <cp:lastPrinted>2016-01-08T10:16:00Z</cp:lastPrinted>
  <dcterms:created xsi:type="dcterms:W3CDTF">2017-01-21T16:58:00Z</dcterms:created>
  <dcterms:modified xsi:type="dcterms:W3CDTF">2017-01-21T16:58:00Z</dcterms:modified>
</cp:coreProperties>
</file>